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043F7">
      <w:pPr>
        <w:spacing w:line="600" w:lineRule="exact"/>
        <w:ind w:firstLine="0" w:firstLineChars="0"/>
        <w:jc w:val="center"/>
        <w:rPr>
          <w:rFonts w:hint="eastAsia" w:ascii="方正小标宋简体" w:hAnsi="方正小标宋简体" w:eastAsia="方正小标宋简体" w:cs="方正小标宋简体"/>
          <w:b w:val="0"/>
          <w:bCs w:val="0"/>
          <w:color w:val="000000"/>
          <w:kern w:val="0"/>
          <w:sz w:val="44"/>
          <w:szCs w:val="44"/>
          <w:lang w:val="en-US" w:eastAsia="zh-CN"/>
        </w:rPr>
      </w:pPr>
      <w:r>
        <w:rPr>
          <w:rFonts w:hint="eastAsia" w:ascii="方正小标宋简体" w:hAnsi="方正小标宋简体" w:eastAsia="方正小标宋简体" w:cs="方正小标宋简体"/>
          <w:bCs w:val="0"/>
          <w:color w:val="000000"/>
          <w:kern w:val="0"/>
          <w:sz w:val="44"/>
          <w:szCs w:val="44"/>
          <w:lang w:eastAsia="zh-CN"/>
        </w:rPr>
        <w:t>磐安县</w:t>
      </w:r>
      <w:r>
        <w:rPr>
          <w:rFonts w:hint="eastAsia" w:ascii="方正小标宋简体" w:hAnsi="方正小标宋简体" w:eastAsia="方正小标宋简体" w:cs="方正小标宋简体"/>
          <w:bCs w:val="0"/>
          <w:color w:val="000000"/>
          <w:kern w:val="0"/>
          <w:sz w:val="44"/>
          <w:szCs w:val="44"/>
        </w:rPr>
        <w:t>财政公物仓管理暂行办法</w:t>
      </w:r>
    </w:p>
    <w:p w14:paraId="783A4337">
      <w:pPr>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1FE5EFD4">
      <w:pPr>
        <w:pStyle w:val="6"/>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70" w:lineRule="exact"/>
        <w:ind w:firstLine="608" w:firstLineChars="200"/>
        <w:jc w:val="both"/>
        <w:textAlignment w:val="auto"/>
        <w:rPr>
          <w:rFonts w:hint="eastAsia" w:ascii="仿宋_GB2312" w:hAnsi="����" w:eastAsia="仿宋_GB2312"/>
          <w:color w:val="000000"/>
          <w:spacing w:val="-4"/>
          <w:sz w:val="32"/>
          <w:szCs w:val="32"/>
        </w:rPr>
      </w:pPr>
      <w:r>
        <w:rPr>
          <w:rFonts w:hint="eastAsia" w:ascii="仿宋_GB2312" w:hAnsi="����" w:eastAsia="仿宋_GB2312"/>
          <w:color w:val="000000"/>
          <w:spacing w:val="-4"/>
          <w:sz w:val="32"/>
          <w:szCs w:val="32"/>
        </w:rPr>
        <w:t xml:space="preserve"> </w:t>
      </w:r>
    </w:p>
    <w:p w14:paraId="14B33BF4">
      <w:pPr>
        <w:spacing w:line="560" w:lineRule="exact"/>
        <w:ind w:firstLine="618" w:firstLineChars="198"/>
        <w:jc w:val="both"/>
        <w:rPr>
          <w:rFonts w:hint="default" w:ascii="Times New Roman" w:hAnsi="Times New Roman" w:eastAsia="仿宋_GB2312" w:cs="Times New Roman"/>
          <w:color w:val="000000"/>
          <w:kern w:val="0"/>
          <w:sz w:val="32"/>
          <w:szCs w:val="32"/>
        </w:rPr>
      </w:pPr>
      <w:r>
        <w:rPr>
          <w:rFonts w:hint="default" w:ascii="仿宋_GB2312" w:hAnsi="ˎ̥" w:cs="宋体"/>
          <w:color w:val="000000"/>
          <w:kern w:val="0"/>
          <w:sz w:val="32"/>
          <w:szCs w:val="32"/>
          <w:woUserID w:val="1"/>
        </w:rPr>
        <w:t>一、</w:t>
      </w:r>
      <w:r>
        <w:rPr>
          <w:rFonts w:hint="eastAsia" w:ascii="仿宋_GB2312" w:hAnsi="ˎ̥" w:eastAsia="仿宋_GB2312" w:cs="宋体"/>
          <w:color w:val="000000"/>
          <w:kern w:val="0"/>
          <w:sz w:val="32"/>
          <w:szCs w:val="32"/>
        </w:rPr>
        <w:t>为进一步规范行政事业单位固定资产使用和处置行为，加强罚没物资监督管理，推进资产的共享、共用和集约化管理，充分发挥国有资产使用效益，</w:t>
      </w:r>
      <w:r>
        <w:rPr>
          <w:rFonts w:hint="eastAsia" w:ascii="仿宋_GB2312" w:hAnsi="ˎ̥" w:eastAsia="仿宋_GB2312" w:cs="宋体"/>
          <w:color w:val="000000"/>
          <w:kern w:val="0"/>
          <w:sz w:val="32"/>
          <w:szCs w:val="32"/>
          <w:lang w:val="en-US" w:eastAsia="zh-CN"/>
        </w:rPr>
        <w:t>促进报废资产的回收利用，</w:t>
      </w:r>
      <w:r>
        <w:rPr>
          <w:rFonts w:hint="eastAsia" w:ascii="仿宋_GB2312" w:hAnsi="ˎ̥" w:eastAsia="仿宋_GB2312" w:cs="宋体"/>
          <w:color w:val="000000"/>
          <w:kern w:val="0"/>
          <w:sz w:val="32"/>
          <w:szCs w:val="32"/>
        </w:rPr>
        <w:t>根据</w:t>
      </w:r>
      <w:r>
        <w:rPr>
          <w:rFonts w:hint="eastAsia" w:ascii="仿宋_GB2312" w:hAnsi="仿宋_GB2312" w:eastAsia="仿宋_GB2312" w:cs="仿宋_GB2312"/>
          <w:kern w:val="2"/>
          <w:sz w:val="32"/>
          <w:szCs w:val="32"/>
          <w:highlight w:val="none"/>
          <w:lang w:val="en-US" w:eastAsia="zh-CN" w:bidi="ar-SA"/>
        </w:rPr>
        <w:t>《浙江省财政厅关于做好行政事业单位公物仓管理工作的通知》</w:t>
      </w:r>
      <w:r>
        <w:rPr>
          <w:rFonts w:hint="eastAsia" w:ascii="Times New Roman" w:hAnsi="Times New Roman" w:eastAsia="仿宋_GB2312" w:cs="Times New Roman"/>
          <w:color w:val="000000"/>
          <w:kern w:val="0"/>
          <w:sz w:val="32"/>
          <w:szCs w:val="32"/>
          <w:lang w:val="en-US" w:eastAsia="zh-CN"/>
        </w:rPr>
        <w:t>（浙财资产〔2023〕67号</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ˎ̥" w:eastAsia="仿宋_GB2312" w:cs="宋体"/>
          <w:color w:val="000000"/>
          <w:kern w:val="0"/>
          <w:sz w:val="32"/>
          <w:szCs w:val="32"/>
        </w:rPr>
        <w:t>《浙江省行政事业性国有资产管理办法》（浙</w:t>
      </w:r>
      <w:r>
        <w:rPr>
          <w:rFonts w:hint="default" w:ascii="Times New Roman" w:hAnsi="Times New Roman" w:eastAsia="仿宋_GB2312" w:cs="Times New Roman"/>
          <w:color w:val="000000"/>
          <w:kern w:val="0"/>
          <w:sz w:val="32"/>
          <w:szCs w:val="32"/>
        </w:rPr>
        <w:t>财资产〔2022〕160号）</w:t>
      </w:r>
      <w:r>
        <w:rPr>
          <w:rFonts w:hint="default" w:ascii="Times New Roman" w:hAnsi="Times New Roman" w:eastAsia="仿宋_GB2312" w:cs="Times New Roman"/>
          <w:color w:val="000000"/>
          <w:kern w:val="0"/>
          <w:sz w:val="32"/>
          <w:szCs w:val="32"/>
          <w:lang w:eastAsia="zh-CN"/>
        </w:rPr>
        <w:t>、《金华市</w:t>
      </w:r>
      <w:r>
        <w:rPr>
          <w:rFonts w:hint="default" w:ascii="Times New Roman" w:hAnsi="Times New Roman" w:eastAsia="仿宋_GB2312" w:cs="Times New Roman"/>
          <w:color w:val="000000"/>
          <w:kern w:val="0"/>
          <w:sz w:val="32"/>
          <w:szCs w:val="32"/>
          <w:lang w:val="en-US" w:eastAsia="zh-CN"/>
        </w:rPr>
        <w:t>本级财政公物仓管理暂行办法</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（金财资产〔2022〕123号</w:t>
      </w:r>
      <w:r>
        <w:rPr>
          <w:rFonts w:hint="default" w:ascii="Times New Roman" w:hAnsi="Times New Roman" w:eastAsia="仿宋_GB2312" w:cs="Times New Roman"/>
          <w:color w:val="000000"/>
          <w:kern w:val="0"/>
          <w:sz w:val="32"/>
          <w:szCs w:val="32"/>
        </w:rPr>
        <w:t>）等文件精神，结合实际，制定本暂行办法。</w:t>
      </w:r>
    </w:p>
    <w:p w14:paraId="0A715586">
      <w:pPr>
        <w:spacing w:line="560" w:lineRule="exact"/>
        <w:ind w:firstLine="624" w:firstLineChars="200"/>
        <w:jc w:val="both"/>
        <w:rPr>
          <w:rFonts w:hint="eastAsia" w:ascii="仿宋_GB2312" w:hAnsi="ˎ̥" w:eastAsia="仿宋_GB2312" w:cs="宋体"/>
          <w:color w:val="000000"/>
          <w:kern w:val="0"/>
          <w:sz w:val="32"/>
          <w:szCs w:val="32"/>
        </w:rPr>
      </w:pPr>
      <w:r>
        <w:rPr>
          <w:rFonts w:hint="default" w:ascii="仿宋_GB2312" w:hAnsi="ˎ̥" w:cs="宋体"/>
          <w:color w:val="000000"/>
          <w:kern w:val="0"/>
          <w:sz w:val="32"/>
          <w:szCs w:val="32"/>
          <w:woUserID w:val="1"/>
        </w:rPr>
        <w:t>二、</w:t>
      </w:r>
      <w:r>
        <w:rPr>
          <w:rFonts w:hint="eastAsia" w:ascii="仿宋_GB2312" w:hAnsi="ˎ̥" w:eastAsia="仿宋_GB2312" w:cs="宋体"/>
          <w:color w:val="000000"/>
          <w:kern w:val="0"/>
          <w:sz w:val="32"/>
          <w:szCs w:val="32"/>
        </w:rPr>
        <w:t>本办法适用于</w:t>
      </w:r>
      <w:r>
        <w:rPr>
          <w:rFonts w:hint="eastAsia" w:ascii="仿宋_GB2312" w:hAnsi="ˎ̥" w:eastAsia="仿宋_GB2312" w:cs="宋体"/>
          <w:color w:val="000000"/>
          <w:kern w:val="0"/>
          <w:sz w:val="32"/>
          <w:szCs w:val="32"/>
          <w:lang w:eastAsia="zh-CN"/>
        </w:rPr>
        <w:t>全县</w:t>
      </w:r>
      <w:r>
        <w:rPr>
          <w:rFonts w:hint="eastAsia" w:ascii="仿宋_GB2312" w:hAnsi="ˎ̥" w:eastAsia="仿宋_GB2312" w:cs="宋体"/>
          <w:color w:val="000000"/>
          <w:kern w:val="0"/>
          <w:sz w:val="32"/>
          <w:szCs w:val="32"/>
        </w:rPr>
        <w:t>党</w:t>
      </w:r>
      <w:r>
        <w:rPr>
          <w:rFonts w:hint="eastAsia" w:ascii="仿宋_GB2312" w:hAnsi="ˎ̥" w:eastAsia="仿宋_GB2312" w:cs="宋体"/>
          <w:color w:val="000000"/>
          <w:kern w:val="0"/>
          <w:sz w:val="32"/>
          <w:szCs w:val="32"/>
          <w:lang w:eastAsia="zh-CN"/>
        </w:rPr>
        <w:t>政</w:t>
      </w:r>
      <w:r>
        <w:rPr>
          <w:rFonts w:hint="eastAsia" w:ascii="仿宋_GB2312" w:hAnsi="ˎ̥" w:eastAsia="仿宋_GB2312" w:cs="宋体"/>
          <w:color w:val="000000"/>
          <w:kern w:val="0"/>
          <w:sz w:val="32"/>
          <w:szCs w:val="32"/>
        </w:rPr>
        <w:t>机关、人大机关、政协机关、审判机关、检察机关、人民团体、各民主党派、党政机关派出机构和使用财政资金的事业单位及临时性机构（以下统称行政事业单位）。</w:t>
      </w:r>
    </w:p>
    <w:p w14:paraId="5B75BB94">
      <w:pPr>
        <w:spacing w:line="560" w:lineRule="exact"/>
        <w:ind w:firstLine="624" w:firstLineChars="200"/>
        <w:jc w:val="both"/>
        <w:rPr>
          <w:rFonts w:hint="default" w:ascii="仿宋_GB2312" w:hAnsi="ˎ̥" w:eastAsia="仿宋_GB2312" w:cs="宋体"/>
          <w:color w:val="000000"/>
          <w:kern w:val="0"/>
          <w:sz w:val="32"/>
          <w:szCs w:val="32"/>
          <w:lang w:val="en-US" w:eastAsia="zh-CN"/>
        </w:rPr>
      </w:pPr>
      <w:r>
        <w:rPr>
          <w:rFonts w:hint="default" w:ascii="仿宋_GB2312" w:hAnsi="ˎ̥" w:cs="宋体"/>
          <w:color w:val="000000"/>
          <w:kern w:val="0"/>
          <w:sz w:val="32"/>
          <w:szCs w:val="32"/>
          <w:woUserID w:val="1"/>
        </w:rPr>
        <w:t>三、</w:t>
      </w:r>
      <w:r>
        <w:rPr>
          <w:rFonts w:hint="eastAsia" w:ascii="仿宋_GB2312" w:hAnsi="ˎ̥" w:eastAsia="仿宋_GB2312" w:cs="宋体"/>
          <w:color w:val="000000"/>
          <w:kern w:val="0"/>
          <w:sz w:val="32"/>
          <w:szCs w:val="32"/>
          <w:lang w:eastAsia="zh-CN"/>
        </w:rPr>
        <w:t>磐安县</w:t>
      </w:r>
      <w:r>
        <w:rPr>
          <w:rFonts w:hint="eastAsia" w:ascii="仿宋_GB2312" w:hAnsi="ˎ̥" w:eastAsia="仿宋_GB2312" w:cs="宋体"/>
          <w:color w:val="000000"/>
          <w:kern w:val="0"/>
          <w:sz w:val="32"/>
          <w:szCs w:val="32"/>
        </w:rPr>
        <w:t>财政公物仓（以下简称公物仓）是由</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财政局设立的，对</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本级行政事业单位纳入公物仓范围的固定资产和罚没物资的使用及处置实行统一管理的运作平台。</w:t>
      </w:r>
      <w:r>
        <w:rPr>
          <w:rFonts w:hint="eastAsia" w:ascii="仿宋_GB2312" w:hAnsi="ˎ̥" w:eastAsia="仿宋_GB2312" w:cs="宋体"/>
          <w:b w:val="0"/>
          <w:bCs w:val="0"/>
          <w:color w:val="000000"/>
          <w:kern w:val="0"/>
          <w:sz w:val="32"/>
          <w:szCs w:val="32"/>
          <w:lang w:val="en-US" w:eastAsia="zh-CN"/>
        </w:rPr>
        <w:t>由国有独资企业磐安县国有资产经营有限公司作为运营企业。</w:t>
      </w:r>
    </w:p>
    <w:p w14:paraId="4E83D321">
      <w:pPr>
        <w:spacing w:line="560" w:lineRule="exact"/>
        <w:ind w:firstLine="624" w:firstLineChars="200"/>
        <w:rPr>
          <w:rFonts w:hint="eastAsia" w:ascii="仿宋_GB2312" w:hAnsi="ˎ̥" w:eastAsia="仿宋_GB2312" w:cs="宋体"/>
          <w:color w:val="000000"/>
          <w:kern w:val="0"/>
          <w:sz w:val="32"/>
          <w:szCs w:val="32"/>
        </w:rPr>
      </w:pPr>
      <w:r>
        <w:rPr>
          <w:rFonts w:hint="default" w:ascii="仿宋_GB2312" w:hAnsi="ˎ̥" w:cs="宋体"/>
          <w:b w:val="0"/>
          <w:bCs w:val="0"/>
          <w:color w:val="000000"/>
          <w:kern w:val="0"/>
          <w:sz w:val="32"/>
          <w:szCs w:val="32"/>
          <w:woUserID w:val="1"/>
        </w:rPr>
        <w:t>四、</w:t>
      </w:r>
      <w:r>
        <w:rPr>
          <w:rFonts w:hint="eastAsia" w:ascii="仿宋_GB2312" w:hAnsi="ˎ̥" w:eastAsia="仿宋_GB2312" w:cs="宋体"/>
          <w:color w:val="000000"/>
          <w:kern w:val="0"/>
          <w:sz w:val="32"/>
          <w:szCs w:val="32"/>
        </w:rPr>
        <w:t>公物仓遵循厉行节约、调剂余缺、循环使用、规范透明的原则。</w:t>
      </w:r>
    </w:p>
    <w:p w14:paraId="533D79B0">
      <w:pPr>
        <w:spacing w:line="560" w:lineRule="exact"/>
        <w:ind w:firstLine="624" w:firstLineChars="200"/>
        <w:rPr>
          <w:rFonts w:hint="eastAsia" w:ascii="仿宋_GB2312" w:hAnsi="ˎ̥" w:eastAsia="仿宋_GB2312" w:cs="宋体"/>
          <w:color w:val="000000"/>
          <w:kern w:val="0"/>
          <w:sz w:val="32"/>
          <w:szCs w:val="32"/>
        </w:rPr>
      </w:pPr>
      <w:r>
        <w:rPr>
          <w:rFonts w:hint="default" w:ascii="仿宋_GB2312" w:hAnsi="ˎ̥" w:cs="宋体"/>
          <w:b w:val="0"/>
          <w:bCs w:val="0"/>
          <w:color w:val="000000"/>
          <w:kern w:val="0"/>
          <w:sz w:val="32"/>
          <w:szCs w:val="32"/>
          <w:woUserID w:val="1"/>
        </w:rPr>
        <w:t>五、</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财政局是管理公物仓的职能部门，主要职责是:</w:t>
      </w:r>
    </w:p>
    <w:p w14:paraId="78BCDFAD">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（一）研究制定公物仓管理的相关制度。</w:t>
      </w:r>
    </w:p>
    <w:p w14:paraId="2245A7C5">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（二）负责审批和落实公物仓资产的收缴、调配、使用和处置等事项。</w:t>
      </w:r>
    </w:p>
    <w:p w14:paraId="3924BABD">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（三）负责监督检查公物仓管理及执行制度情况，并对受托仓库保管单位履行监督检查的职责。</w:t>
      </w:r>
    </w:p>
    <w:p w14:paraId="6B0471DD">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（四）涉及公物仓资产监督管理等的其他事项。</w:t>
      </w:r>
    </w:p>
    <w:p w14:paraId="655D7A8D">
      <w:pPr>
        <w:spacing w:line="560" w:lineRule="exact"/>
        <w:ind w:firstLine="624" w:firstLineChars="200"/>
        <w:rPr>
          <w:rFonts w:hint="default" w:ascii="仿宋_GB2312" w:hAnsi="宋体" w:eastAsia="仿宋_GB2312" w:cs="宋体"/>
          <w:kern w:val="0"/>
          <w:sz w:val="32"/>
          <w:szCs w:val="32"/>
          <w:woUserID w:val="1"/>
        </w:rPr>
      </w:pPr>
      <w:r>
        <w:rPr>
          <w:rFonts w:hint="default" w:ascii="仿宋_GB2312" w:hAnsi="ˎ̥" w:cs="宋体"/>
          <w:color w:val="000000"/>
          <w:kern w:val="0"/>
          <w:sz w:val="32"/>
          <w:szCs w:val="32"/>
          <w:lang w:eastAsia="zh-CN"/>
          <w:woUserID w:val="1"/>
        </w:rPr>
        <w:t>六、</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本级行政事业单位主要职责是</w:t>
      </w:r>
      <w:r>
        <w:rPr>
          <w:rFonts w:hint="default" w:ascii="仿宋_GB2312" w:hAnsi="ˎ̥" w:cs="宋体"/>
          <w:color w:val="000000"/>
          <w:kern w:val="0"/>
          <w:sz w:val="32"/>
          <w:szCs w:val="32"/>
          <w:woUserID w:val="1"/>
        </w:rPr>
        <w:t>：</w:t>
      </w:r>
    </w:p>
    <w:p w14:paraId="7178E73A">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（一）根据相关规定和工作需要提出配置和使用公物仓资产的申请。</w:t>
      </w:r>
    </w:p>
    <w:p w14:paraId="499E95B9">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（二）负责办理本单位留用、调配、上缴（划转）、借用和归还公物仓资产等有关手续及申报。</w:t>
      </w:r>
    </w:p>
    <w:p w14:paraId="7A927831">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（三）负责本单位借用公物仓资产使用期间日常保养和维护工作，确保公物仓资产在用期间的安全完整。</w:t>
      </w:r>
    </w:p>
    <w:p w14:paraId="33C1223A">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（四）按规定及时上缴、归还公物仓资产。</w:t>
      </w:r>
    </w:p>
    <w:p w14:paraId="2A872409">
      <w:pPr>
        <w:spacing w:line="560" w:lineRule="exact"/>
        <w:ind w:firstLine="624" w:firstLineChars="200"/>
        <w:rPr>
          <w:rFonts w:hint="eastAsia" w:ascii="仿宋_GB2312" w:hAnsi="ˎ̥" w:eastAsia="仿宋_GB2312" w:cs="宋体"/>
          <w:kern w:val="0"/>
          <w:sz w:val="32"/>
          <w:szCs w:val="32"/>
          <w:shd w:val="pct10" w:color="auto" w:fill="FFFFFF"/>
        </w:rPr>
      </w:pPr>
      <w:r>
        <w:rPr>
          <w:rFonts w:hint="eastAsia" w:ascii="仿宋_GB2312" w:hAnsi="ˎ̥" w:eastAsia="仿宋_GB2312" w:cs="宋体"/>
          <w:color w:val="000000"/>
          <w:kern w:val="0"/>
          <w:sz w:val="32"/>
          <w:szCs w:val="32"/>
        </w:rPr>
        <w:t>（五）</w:t>
      </w:r>
      <w:r>
        <w:rPr>
          <w:rFonts w:hint="eastAsia" w:ascii="仿宋_GB2312" w:hAnsi="ˎ̥" w:eastAsia="仿宋_GB2312" w:cs="宋体"/>
          <w:kern w:val="0"/>
          <w:sz w:val="32"/>
          <w:szCs w:val="32"/>
        </w:rPr>
        <w:t>负责对收缴的各类罚没物资提出处理意见。</w:t>
      </w:r>
    </w:p>
    <w:p w14:paraId="34569D6E">
      <w:pPr>
        <w:spacing w:line="560" w:lineRule="exact"/>
        <w:ind w:firstLine="624" w:firstLineChars="200"/>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（六）协助公物仓管理事项。</w:t>
      </w:r>
    </w:p>
    <w:p w14:paraId="77F70892">
      <w:pPr>
        <w:spacing w:line="560" w:lineRule="exact"/>
        <w:ind w:firstLine="624" w:firstLineChars="200"/>
        <w:rPr>
          <w:rFonts w:hint="default" w:ascii="仿宋_GB2312" w:hAnsi="ˎ̥" w:eastAsia="仿宋_GB2312" w:cs="宋体"/>
          <w:b w:val="0"/>
          <w:bCs w:val="0"/>
          <w:color w:val="000000"/>
          <w:kern w:val="0"/>
          <w:sz w:val="32"/>
          <w:szCs w:val="32"/>
          <w:lang w:val="en-US" w:eastAsia="zh-CN"/>
        </w:rPr>
      </w:pPr>
      <w:r>
        <w:rPr>
          <w:rFonts w:hint="default" w:ascii="仿宋_GB2312" w:hAnsi="ˎ̥" w:cs="宋体"/>
          <w:b w:val="0"/>
          <w:bCs w:val="0"/>
          <w:color w:val="000000"/>
          <w:kern w:val="0"/>
          <w:sz w:val="32"/>
          <w:szCs w:val="32"/>
          <w:lang w:eastAsia="zh-CN"/>
          <w:woUserID w:val="1"/>
        </w:rPr>
        <w:t>七、</w:t>
      </w:r>
      <w:r>
        <w:rPr>
          <w:rFonts w:hint="eastAsia" w:ascii="仿宋_GB2312" w:hAnsi="ˎ̥" w:eastAsia="仿宋_GB2312" w:cs="宋体"/>
          <w:b w:val="0"/>
          <w:bCs w:val="0"/>
          <w:color w:val="000000"/>
          <w:kern w:val="0"/>
          <w:sz w:val="32"/>
          <w:szCs w:val="32"/>
          <w:lang w:val="en-US" w:eastAsia="zh-CN"/>
        </w:rPr>
        <w:t>行政事业单位纳入公</w:t>
      </w:r>
      <w:r>
        <w:rPr>
          <w:rFonts w:hint="eastAsia" w:ascii="仿宋_GB2312" w:hAnsi="ˎ̥" w:eastAsia="仿宋_GB2312" w:cs="宋体"/>
          <w:kern w:val="0"/>
          <w:sz w:val="32"/>
          <w:szCs w:val="32"/>
        </w:rPr>
        <w:t>物</w:t>
      </w:r>
      <w:r>
        <w:rPr>
          <w:rFonts w:hint="eastAsia" w:ascii="仿宋_GB2312" w:hAnsi="ˎ̥" w:eastAsia="仿宋_GB2312" w:cs="宋体"/>
          <w:b w:val="0"/>
          <w:bCs w:val="0"/>
          <w:color w:val="000000"/>
          <w:kern w:val="0"/>
          <w:sz w:val="32"/>
          <w:szCs w:val="32"/>
          <w:lang w:val="en-US" w:eastAsia="zh-CN"/>
        </w:rPr>
        <w:t>仓管理的实物资产，除另有特别规定外，统一无偿移交给磐安县国有资产经营有限公司。</w:t>
      </w:r>
    </w:p>
    <w:p w14:paraId="4B7BCF9B">
      <w:pPr>
        <w:spacing w:line="560" w:lineRule="exact"/>
        <w:ind w:firstLine="936" w:firstLineChars="300"/>
        <w:rPr>
          <w:rFonts w:hint="eastAsia" w:ascii="仿宋_GB2312" w:hAnsi="ˎ̥" w:eastAsia="仿宋_GB2312" w:cs="宋体"/>
          <w:b w:val="0"/>
          <w:bCs w:val="0"/>
          <w:color w:val="000000"/>
          <w:kern w:val="0"/>
          <w:sz w:val="32"/>
          <w:szCs w:val="32"/>
          <w:lang w:val="en-US" w:eastAsia="zh-CN"/>
        </w:rPr>
      </w:pPr>
      <w:r>
        <w:rPr>
          <w:rFonts w:hint="eastAsia" w:ascii="仿宋_GB2312" w:hAnsi="ˎ̥" w:eastAsia="仿宋_GB2312" w:cs="宋体"/>
          <w:b w:val="0"/>
          <w:bCs w:val="0"/>
          <w:color w:val="000000"/>
          <w:kern w:val="0"/>
          <w:sz w:val="32"/>
          <w:szCs w:val="32"/>
          <w:lang w:val="en-US" w:eastAsia="zh-CN"/>
        </w:rPr>
        <w:t>磐安县国有资产经营有限公司主要职责是；</w:t>
      </w:r>
    </w:p>
    <w:p w14:paraId="25A286D5">
      <w:pPr>
        <w:spacing w:line="560" w:lineRule="exact"/>
        <w:ind w:firstLine="624" w:firstLineChars="200"/>
        <w:rPr>
          <w:rFonts w:hint="eastAsia" w:ascii="仿宋_GB2312" w:hAnsi="ˎ̥" w:eastAsia="仿宋_GB2312" w:cs="宋体"/>
          <w:b w:val="0"/>
          <w:bCs w:val="0"/>
          <w:color w:val="000000"/>
          <w:kern w:val="0"/>
          <w:sz w:val="32"/>
          <w:szCs w:val="32"/>
          <w:lang w:val="en-US" w:eastAsia="zh-CN"/>
        </w:rPr>
      </w:pPr>
      <w:r>
        <w:rPr>
          <w:rFonts w:hint="eastAsia" w:ascii="仿宋_GB2312" w:hAnsi="ˎ̥" w:eastAsia="仿宋_GB2312" w:cs="宋体"/>
          <w:b w:val="0"/>
          <w:bCs w:val="0"/>
          <w:color w:val="000000"/>
          <w:kern w:val="0"/>
          <w:sz w:val="32"/>
          <w:szCs w:val="32"/>
          <w:lang w:val="en-US" w:eastAsia="zh-CN"/>
        </w:rPr>
        <w:t>（一）负责公</w:t>
      </w:r>
      <w:r>
        <w:rPr>
          <w:rFonts w:hint="eastAsia" w:ascii="仿宋_GB2312" w:hAnsi="ˎ̥" w:eastAsia="仿宋_GB2312" w:cs="宋体"/>
          <w:kern w:val="0"/>
          <w:sz w:val="32"/>
          <w:szCs w:val="32"/>
        </w:rPr>
        <w:t>物</w:t>
      </w:r>
      <w:r>
        <w:rPr>
          <w:rFonts w:hint="eastAsia" w:ascii="仿宋_GB2312" w:hAnsi="ˎ̥" w:eastAsia="仿宋_GB2312" w:cs="宋体"/>
          <w:b w:val="0"/>
          <w:bCs w:val="0"/>
          <w:color w:val="000000"/>
          <w:kern w:val="0"/>
          <w:sz w:val="32"/>
          <w:szCs w:val="32"/>
          <w:lang w:val="en-US" w:eastAsia="zh-CN"/>
        </w:rPr>
        <w:t>仓日常管理、维护、保养、清点。</w:t>
      </w:r>
    </w:p>
    <w:p w14:paraId="0B7E6508">
      <w:pPr>
        <w:spacing w:line="560" w:lineRule="exact"/>
        <w:ind w:firstLine="624" w:firstLineChars="200"/>
        <w:rPr>
          <w:rFonts w:hint="eastAsia" w:ascii="仿宋_GB2312" w:hAnsi="ˎ̥" w:eastAsia="仿宋_GB2312" w:cs="宋体"/>
          <w:b w:val="0"/>
          <w:bCs w:val="0"/>
          <w:color w:val="000000"/>
          <w:kern w:val="0"/>
          <w:sz w:val="32"/>
          <w:szCs w:val="32"/>
          <w:lang w:val="en-US" w:eastAsia="zh-CN"/>
        </w:rPr>
      </w:pPr>
      <w:r>
        <w:rPr>
          <w:rFonts w:hint="eastAsia" w:ascii="仿宋_GB2312" w:hAnsi="ˎ̥" w:eastAsia="仿宋_GB2312" w:cs="宋体"/>
          <w:b w:val="0"/>
          <w:bCs w:val="0"/>
          <w:color w:val="000000"/>
          <w:kern w:val="0"/>
          <w:sz w:val="32"/>
          <w:szCs w:val="32"/>
          <w:lang w:val="en-US" w:eastAsia="zh-CN"/>
        </w:rPr>
        <w:t>（二）负责公</w:t>
      </w:r>
      <w:r>
        <w:rPr>
          <w:rFonts w:hint="eastAsia" w:ascii="仿宋_GB2312" w:hAnsi="ˎ̥" w:eastAsia="仿宋_GB2312" w:cs="宋体"/>
          <w:kern w:val="0"/>
          <w:sz w:val="32"/>
          <w:szCs w:val="32"/>
        </w:rPr>
        <w:t>物</w:t>
      </w:r>
      <w:r>
        <w:rPr>
          <w:rFonts w:hint="eastAsia" w:ascii="仿宋_GB2312" w:hAnsi="ˎ̥" w:eastAsia="仿宋_GB2312" w:cs="宋体"/>
          <w:b w:val="0"/>
          <w:bCs w:val="0"/>
          <w:color w:val="000000"/>
          <w:kern w:val="0"/>
          <w:sz w:val="32"/>
          <w:szCs w:val="32"/>
          <w:lang w:val="en-US" w:eastAsia="zh-CN"/>
        </w:rPr>
        <w:t>仓资产入库、出库管理。</w:t>
      </w:r>
    </w:p>
    <w:p w14:paraId="55EE55CD">
      <w:pPr>
        <w:spacing w:line="560" w:lineRule="exact"/>
        <w:ind w:firstLine="624" w:firstLineChars="200"/>
        <w:rPr>
          <w:rFonts w:hint="eastAsia" w:ascii="仿宋_GB2312" w:hAnsi="ˎ̥" w:eastAsia="仿宋_GB2312" w:cs="宋体"/>
          <w:b w:val="0"/>
          <w:bCs w:val="0"/>
          <w:color w:val="000000"/>
          <w:kern w:val="0"/>
          <w:sz w:val="32"/>
          <w:szCs w:val="32"/>
          <w:lang w:val="en-US" w:eastAsia="zh-CN"/>
        </w:rPr>
      </w:pPr>
      <w:r>
        <w:rPr>
          <w:rFonts w:hint="eastAsia" w:ascii="仿宋_GB2312" w:hAnsi="ˎ̥" w:eastAsia="仿宋_GB2312" w:cs="宋体"/>
          <w:b w:val="0"/>
          <w:bCs w:val="0"/>
          <w:color w:val="000000"/>
          <w:kern w:val="0"/>
          <w:sz w:val="32"/>
          <w:szCs w:val="32"/>
          <w:lang w:val="en-US" w:eastAsia="zh-CN"/>
        </w:rPr>
        <w:t>（三）负责公</w:t>
      </w:r>
      <w:r>
        <w:rPr>
          <w:rFonts w:hint="eastAsia" w:ascii="仿宋_GB2312" w:hAnsi="ˎ̥" w:eastAsia="仿宋_GB2312" w:cs="宋体"/>
          <w:kern w:val="0"/>
          <w:sz w:val="32"/>
          <w:szCs w:val="32"/>
        </w:rPr>
        <w:t>物</w:t>
      </w:r>
      <w:r>
        <w:rPr>
          <w:rFonts w:hint="eastAsia" w:ascii="仿宋_GB2312" w:hAnsi="ˎ̥" w:eastAsia="仿宋_GB2312" w:cs="宋体"/>
          <w:b w:val="0"/>
          <w:bCs w:val="0"/>
          <w:color w:val="000000"/>
          <w:kern w:val="0"/>
          <w:sz w:val="32"/>
          <w:szCs w:val="32"/>
          <w:lang w:val="en-US" w:eastAsia="zh-CN"/>
        </w:rPr>
        <w:t>仓资产处置。</w:t>
      </w:r>
    </w:p>
    <w:p w14:paraId="427C89E1">
      <w:pPr>
        <w:spacing w:line="560" w:lineRule="exact"/>
        <w:ind w:firstLine="624" w:firstLineChars="200"/>
        <w:rPr>
          <w:rFonts w:hint="default" w:ascii="仿宋_GB2312" w:hAnsi="ˎ̥" w:eastAsia="仿宋_GB2312" w:cs="宋体"/>
          <w:b w:val="0"/>
          <w:bCs w:val="0"/>
          <w:color w:val="000000"/>
          <w:kern w:val="0"/>
          <w:sz w:val="32"/>
          <w:szCs w:val="32"/>
          <w:lang w:val="en-US" w:eastAsia="zh-CN"/>
        </w:rPr>
      </w:pPr>
      <w:r>
        <w:rPr>
          <w:rFonts w:hint="eastAsia" w:ascii="仿宋_GB2312" w:hAnsi="ˎ̥" w:eastAsia="仿宋_GB2312" w:cs="宋体"/>
          <w:b w:val="0"/>
          <w:bCs w:val="0"/>
          <w:color w:val="000000"/>
          <w:kern w:val="0"/>
          <w:sz w:val="32"/>
          <w:szCs w:val="32"/>
          <w:lang w:val="en-US" w:eastAsia="zh-CN"/>
        </w:rPr>
        <w:t>（四）加强内部管理，提高回收处置工作效率。</w:t>
      </w:r>
    </w:p>
    <w:p w14:paraId="54367C5A">
      <w:pPr>
        <w:spacing w:line="560" w:lineRule="exact"/>
        <w:ind w:firstLine="624" w:firstLineChars="200"/>
        <w:jc w:val="both"/>
        <w:rPr>
          <w:rFonts w:hint="eastAsia" w:ascii="仿宋_GB2312" w:hAnsi="ˎ̥" w:eastAsia="仿宋_GB2312" w:cs="宋体"/>
          <w:color w:val="000000"/>
          <w:kern w:val="0"/>
          <w:sz w:val="32"/>
          <w:szCs w:val="32"/>
        </w:rPr>
      </w:pPr>
      <w:r>
        <w:rPr>
          <w:rFonts w:hint="default" w:ascii="仿宋_GB2312" w:hAnsi="ˎ̥" w:cs="宋体"/>
          <w:color w:val="000000"/>
          <w:kern w:val="0"/>
          <w:sz w:val="32"/>
          <w:szCs w:val="32"/>
          <w:woUserID w:val="1"/>
        </w:rPr>
        <w:t>八、</w:t>
      </w:r>
      <w:r>
        <w:rPr>
          <w:rFonts w:hint="eastAsia" w:ascii="仿宋_GB2312" w:hAnsi="ˎ̥" w:eastAsia="仿宋_GB2312" w:cs="宋体"/>
          <w:color w:val="000000"/>
          <w:kern w:val="0"/>
          <w:sz w:val="32"/>
          <w:szCs w:val="32"/>
        </w:rPr>
        <w:t>纳入公物仓管理范围：</w:t>
      </w:r>
    </w:p>
    <w:p w14:paraId="1E96118B">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（一）</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本级行政事业单位富余、闲置及超标的各类资产（不包括房产、土地等不动产）。</w:t>
      </w:r>
    </w:p>
    <w:p w14:paraId="6DCD02D6">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（二）</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本级行政事业单位待报废、已更新淘汰的资产。</w:t>
      </w:r>
    </w:p>
    <w:p w14:paraId="24554E81">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（三）</w:t>
      </w:r>
      <w:r>
        <w:rPr>
          <w:rFonts w:hint="eastAsia" w:ascii="仿宋_GB2312" w:hAnsi="宋体" w:eastAsia="仿宋_GB2312" w:cs="宋体"/>
          <w:kern w:val="0"/>
          <w:sz w:val="32"/>
          <w:szCs w:val="32"/>
        </w:rPr>
        <w:t>经</w:t>
      </w:r>
      <w:r>
        <w:rPr>
          <w:rFonts w:hint="eastAsia" w:ascii="仿宋_GB2312" w:hAnsi="宋体" w:eastAsia="仿宋_GB2312" w:cs="宋体"/>
          <w:kern w:val="0"/>
          <w:sz w:val="32"/>
          <w:szCs w:val="32"/>
          <w:lang w:eastAsia="zh-CN"/>
        </w:rPr>
        <w:t>县</w:t>
      </w:r>
      <w:r>
        <w:rPr>
          <w:rFonts w:hint="eastAsia" w:ascii="仿宋_GB2312" w:hAnsi="宋体" w:eastAsia="仿宋_GB2312" w:cs="宋体"/>
          <w:kern w:val="0"/>
          <w:sz w:val="32"/>
          <w:szCs w:val="32"/>
        </w:rPr>
        <w:t>委、</w:t>
      </w:r>
      <w:r>
        <w:rPr>
          <w:rFonts w:hint="eastAsia" w:ascii="仿宋_GB2312" w:hAnsi="宋体" w:eastAsia="仿宋_GB2312" w:cs="宋体"/>
          <w:kern w:val="0"/>
          <w:sz w:val="32"/>
          <w:szCs w:val="32"/>
          <w:lang w:eastAsia="zh-CN"/>
        </w:rPr>
        <w:t>县</w:t>
      </w:r>
      <w:r>
        <w:rPr>
          <w:rFonts w:hint="eastAsia" w:ascii="仿宋_GB2312" w:hAnsi="宋体" w:eastAsia="仿宋_GB2312" w:cs="宋体"/>
          <w:kern w:val="0"/>
          <w:sz w:val="32"/>
          <w:szCs w:val="32"/>
        </w:rPr>
        <w:t>政府同意成立的临时机构和行政事业单位使用财政性资金举办的大型活动（含会议、展览、文体、典礼、普查和调查，下同）</w:t>
      </w:r>
      <w:r>
        <w:rPr>
          <w:rFonts w:hint="eastAsia" w:ascii="仿宋_GB2312" w:hAnsi="ˎ̥" w:eastAsia="仿宋_GB2312" w:cs="宋体"/>
          <w:color w:val="000000"/>
          <w:kern w:val="0"/>
          <w:sz w:val="32"/>
          <w:szCs w:val="32"/>
        </w:rPr>
        <w:t>及突发性工作等所购置的实物资产。</w:t>
      </w:r>
    </w:p>
    <w:p w14:paraId="2C84597F">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（四）被撤销的行政事业单位或临时性机构撤销后的所有资产，合并单位的多余资产。</w:t>
      </w:r>
    </w:p>
    <w:p w14:paraId="0281FF26">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（五）执法、执纪单位依法依纪收缴罚没物品、涉案物品等资产。</w:t>
      </w:r>
    </w:p>
    <w:p w14:paraId="0962A4FA">
      <w:pPr>
        <w:numPr>
          <w:ilvl w:val="0"/>
          <w:numId w:val="0"/>
        </w:numPr>
        <w:spacing w:line="560" w:lineRule="exact"/>
        <w:ind w:left="626" w:leftChars="0"/>
        <w:jc w:val="both"/>
        <w:rPr>
          <w:rFonts w:hint="eastAsia" w:ascii="仿宋_GB2312" w:hAnsi="ˎ̥" w:eastAsia="仿宋_GB2312" w:cs="宋体"/>
          <w:color w:val="000000"/>
          <w:kern w:val="0"/>
          <w:sz w:val="32"/>
          <w:szCs w:val="32"/>
        </w:rPr>
      </w:pPr>
      <w:r>
        <w:rPr>
          <w:rFonts w:hint="default" w:ascii="仿宋_GB2312" w:hAnsi="ˎ̥" w:cs="宋体"/>
          <w:color w:val="000000"/>
          <w:kern w:val="0"/>
          <w:sz w:val="32"/>
          <w:szCs w:val="32"/>
          <w:woUserID w:val="1"/>
        </w:rPr>
        <w:t>九、</w:t>
      </w:r>
      <w:r>
        <w:rPr>
          <w:rFonts w:hint="eastAsia" w:ascii="仿宋_GB2312" w:hAnsi="ˎ̥" w:eastAsia="仿宋_GB2312" w:cs="宋体"/>
          <w:color w:val="000000"/>
          <w:kern w:val="0"/>
          <w:sz w:val="32"/>
          <w:szCs w:val="32"/>
        </w:rPr>
        <w:t>行政事业单位资产及物品上缴财政公物仓。</w:t>
      </w:r>
    </w:p>
    <w:p w14:paraId="46FBE1A3">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kern w:val="0"/>
          <w:sz w:val="32"/>
          <w:szCs w:val="32"/>
        </w:rPr>
        <w:t>凡单价原值</w:t>
      </w:r>
      <w:r>
        <w:rPr>
          <w:rFonts w:hint="default" w:ascii="Times New Roman" w:hAnsi="Times New Roman" w:eastAsia="仿宋_GB2312" w:cs="Times New Roman"/>
          <w:color w:val="000000"/>
          <w:kern w:val="0"/>
          <w:sz w:val="32"/>
          <w:szCs w:val="32"/>
        </w:rPr>
        <w:t>在1000元（专用设备有1500元）以上的，由</w:t>
      </w:r>
      <w:r>
        <w:rPr>
          <w:rFonts w:hint="eastAsia" w:ascii="仿宋_GB2312" w:hAnsi="ˎ̥" w:eastAsia="仿宋_GB2312" w:cs="宋体"/>
          <w:kern w:val="0"/>
          <w:sz w:val="32"/>
          <w:szCs w:val="32"/>
        </w:rPr>
        <w:t>上缴部门或单位</w:t>
      </w:r>
      <w:r>
        <w:rPr>
          <w:rFonts w:hint="eastAsia" w:ascii="仿宋_GB2312" w:hAnsi="ˎ̥" w:eastAsia="仿宋_GB2312" w:cs="宋体"/>
          <w:color w:val="000000"/>
          <w:kern w:val="0"/>
          <w:sz w:val="32"/>
          <w:szCs w:val="32"/>
        </w:rPr>
        <w:t>填写《</w:t>
      </w:r>
      <w:r>
        <w:rPr>
          <w:rFonts w:hint="eastAsia" w:ascii="仿宋_GB2312" w:hAnsi="ˎ̥" w:eastAsia="仿宋_GB2312" w:cs="宋体"/>
          <w:color w:val="000000"/>
          <w:kern w:val="0"/>
          <w:sz w:val="32"/>
          <w:szCs w:val="32"/>
          <w:lang w:val="en-US" w:eastAsia="zh-CN"/>
        </w:rPr>
        <w:t>磐安县</w:t>
      </w:r>
      <w:r>
        <w:rPr>
          <w:rFonts w:hint="eastAsia" w:ascii="仿宋_GB2312" w:hAnsi="ˎ̥" w:eastAsia="仿宋_GB2312" w:cs="宋体"/>
          <w:color w:val="000000"/>
          <w:kern w:val="0"/>
          <w:sz w:val="32"/>
          <w:szCs w:val="32"/>
        </w:rPr>
        <w:t>财政公物仓资产移交清单》（附件1），随同《</w:t>
      </w:r>
      <w:r>
        <w:rPr>
          <w:rFonts w:hint="eastAsia" w:ascii="仿宋_GB2312" w:hAnsi="ˎ̥" w:eastAsia="仿宋_GB2312" w:cs="宋体"/>
          <w:color w:val="000000"/>
          <w:kern w:val="0"/>
          <w:sz w:val="32"/>
          <w:szCs w:val="32"/>
          <w:lang w:eastAsia="zh-CN"/>
        </w:rPr>
        <w:t>磐安县</w:t>
      </w:r>
      <w:r>
        <w:rPr>
          <w:rFonts w:hint="eastAsia" w:ascii="仿宋_GB2312" w:hAnsi="ˎ̥" w:eastAsia="仿宋_GB2312" w:cs="宋体"/>
          <w:color w:val="000000"/>
          <w:kern w:val="0"/>
          <w:sz w:val="32"/>
          <w:szCs w:val="32"/>
        </w:rPr>
        <w:t>行政事业单位国有资产处置</w:t>
      </w:r>
      <w:r>
        <w:rPr>
          <w:rFonts w:hint="eastAsia" w:ascii="仿宋_GB2312" w:hAnsi="ˎ̥" w:eastAsia="仿宋_GB2312" w:cs="宋体"/>
          <w:color w:val="000000"/>
          <w:kern w:val="0"/>
          <w:sz w:val="32"/>
          <w:szCs w:val="32"/>
          <w:lang w:val="en-US" w:eastAsia="zh-CN"/>
        </w:rPr>
        <w:t>申请表</w:t>
      </w:r>
      <w:r>
        <w:rPr>
          <w:rFonts w:hint="eastAsia" w:ascii="仿宋_GB2312" w:hAnsi="ˎ̥" w:eastAsia="仿宋_GB2312" w:cs="宋体"/>
          <w:color w:val="000000"/>
          <w:kern w:val="0"/>
          <w:sz w:val="32"/>
          <w:szCs w:val="32"/>
        </w:rPr>
        <w:t>》交由公物仓工作人员当场清点验收并确认签字后，按下列情况及时办理入库手续：</w:t>
      </w:r>
    </w:p>
    <w:p w14:paraId="2DCDD157">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（一）每年年度终了，</w:t>
      </w:r>
      <w:r>
        <w:rPr>
          <w:rFonts w:hint="eastAsia" w:ascii="仿宋_GB2312" w:hAnsi="ˎ̥" w:eastAsia="仿宋_GB2312" w:cs="宋体"/>
          <w:color w:val="000000"/>
          <w:kern w:val="0"/>
          <w:sz w:val="32"/>
          <w:szCs w:val="32"/>
          <w:lang w:eastAsia="zh-CN"/>
        </w:rPr>
        <w:t>县</w:t>
      </w:r>
      <w:r>
        <w:rPr>
          <w:rFonts w:hint="eastAsia" w:ascii="仿宋_GB2312" w:hAnsi="ˎ̥" w:eastAsia="仿宋_GB2312" w:cs="宋体"/>
          <w:color w:val="000000"/>
          <w:kern w:val="0"/>
          <w:sz w:val="32"/>
          <w:szCs w:val="32"/>
        </w:rPr>
        <w:t>本级行政事业单位应当对本单位占用的固定资产进行清理和盘点，并于</w:t>
      </w:r>
      <w:r>
        <w:rPr>
          <w:rFonts w:hint="default" w:ascii="Times New Roman" w:hAnsi="Times New Roman" w:eastAsia="仿宋_GB2312" w:cs="Times New Roman"/>
          <w:color w:val="000000"/>
          <w:kern w:val="0"/>
          <w:sz w:val="32"/>
          <w:szCs w:val="32"/>
        </w:rPr>
        <w:t>次年3月31日之</w:t>
      </w:r>
      <w:r>
        <w:rPr>
          <w:rFonts w:hint="eastAsia" w:ascii="仿宋_GB2312" w:hAnsi="ˎ̥" w:eastAsia="仿宋_GB2312" w:cs="宋体"/>
          <w:color w:val="000000"/>
          <w:kern w:val="0"/>
          <w:sz w:val="32"/>
          <w:szCs w:val="32"/>
        </w:rPr>
        <w:t>前，将本单位闲置、超标的资产报</w:t>
      </w:r>
      <w:r>
        <w:rPr>
          <w:rFonts w:hint="eastAsia" w:ascii="仿宋_GB2312" w:hAnsi="ˎ̥" w:eastAsia="仿宋_GB2312" w:cs="宋体"/>
          <w:color w:val="000000"/>
          <w:kern w:val="0"/>
          <w:sz w:val="32"/>
          <w:szCs w:val="32"/>
          <w:lang w:val="en-US" w:eastAsia="zh-CN"/>
        </w:rPr>
        <w:t>县</w:t>
      </w:r>
      <w:r>
        <w:rPr>
          <w:rFonts w:hint="eastAsia" w:ascii="仿宋_GB2312" w:hAnsi="ˎ̥" w:eastAsia="仿宋_GB2312" w:cs="宋体"/>
          <w:color w:val="000000"/>
          <w:kern w:val="0"/>
          <w:sz w:val="32"/>
          <w:szCs w:val="32"/>
        </w:rPr>
        <w:t xml:space="preserve">财政局备案后缴入财政公物仓。   </w:t>
      </w:r>
    </w:p>
    <w:p w14:paraId="2DC77A6C">
      <w:pPr>
        <w:spacing w:line="560" w:lineRule="exact"/>
        <w:ind w:firstLine="624" w:firstLineChars="200"/>
        <w:jc w:val="both"/>
        <w:rPr>
          <w:rFonts w:hint="eastAsia" w:ascii="仿宋_GB2312" w:hAnsi="ˎ̥" w:eastAsia="仿宋_GB2312" w:cs="宋体"/>
          <w:color w:val="FF0000"/>
          <w:kern w:val="0"/>
          <w:sz w:val="32"/>
          <w:szCs w:val="32"/>
        </w:rPr>
      </w:pPr>
      <w:r>
        <w:rPr>
          <w:rFonts w:hint="eastAsia" w:ascii="仿宋_GB2312" w:hAnsi="ˎ̥" w:eastAsia="仿宋_GB2312" w:cs="宋体"/>
          <w:color w:val="000000"/>
          <w:kern w:val="0"/>
          <w:sz w:val="32"/>
          <w:szCs w:val="32"/>
        </w:rPr>
        <w:t>（二）报废的资产，按规定的权限和程序审批后，定期收缴财政公物仓。</w:t>
      </w:r>
    </w:p>
    <w:p w14:paraId="39BC715D">
      <w:pPr>
        <w:spacing w:line="560" w:lineRule="exact"/>
        <w:ind w:firstLine="624" w:firstLineChars="200"/>
        <w:jc w:val="both"/>
        <w:rPr>
          <w:rFonts w:hint="eastAsia" w:ascii="仿宋_GB2312" w:hAnsi="ˎ̥" w:eastAsia="仿宋_GB2312" w:cs="宋体"/>
          <w:kern w:val="0"/>
          <w:sz w:val="32"/>
          <w:szCs w:val="32"/>
        </w:rPr>
      </w:pPr>
      <w:r>
        <w:rPr>
          <w:rFonts w:hint="eastAsia" w:ascii="仿宋_GB2312" w:hAnsi="ˎ̥" w:eastAsia="仿宋_GB2312" w:cs="宋体"/>
          <w:color w:val="000000"/>
          <w:kern w:val="0"/>
          <w:sz w:val="32"/>
          <w:szCs w:val="32"/>
        </w:rPr>
        <w:t>（三）更新置换的资产，</w:t>
      </w:r>
      <w:r>
        <w:rPr>
          <w:rFonts w:hint="eastAsia" w:ascii="仿宋_GB2312" w:hAnsi="ˎ̥" w:eastAsia="仿宋_GB2312" w:cs="宋体"/>
          <w:color w:val="000000"/>
          <w:kern w:val="0"/>
          <w:sz w:val="32"/>
          <w:szCs w:val="32"/>
          <w:lang w:val="en-US" w:eastAsia="zh-CN"/>
        </w:rPr>
        <w:t>行政事业</w:t>
      </w:r>
      <w:r>
        <w:rPr>
          <w:rFonts w:hint="eastAsia" w:ascii="仿宋_GB2312" w:hAnsi="ˎ̥" w:eastAsia="仿宋_GB2312" w:cs="宋体"/>
          <w:color w:val="000000"/>
          <w:kern w:val="0"/>
          <w:sz w:val="32"/>
          <w:szCs w:val="32"/>
        </w:rPr>
        <w:t>单位在新购置资产配发前应办理旧资产上缴公物仓资产的相关手续，置换后的资产</w:t>
      </w:r>
      <w:r>
        <w:rPr>
          <w:rFonts w:hint="default" w:ascii="Times New Roman" w:hAnsi="Times New Roman" w:eastAsia="仿宋_GB2312" w:cs="Times New Roman"/>
          <w:color w:val="000000"/>
          <w:kern w:val="0"/>
          <w:sz w:val="32"/>
          <w:szCs w:val="32"/>
        </w:rPr>
        <w:t>在10</w:t>
      </w:r>
      <w:r>
        <w:rPr>
          <w:rFonts w:hint="eastAsia" w:ascii="仿宋_GB2312" w:hAnsi="ˎ̥" w:eastAsia="仿宋_GB2312" w:cs="宋体"/>
          <w:color w:val="000000"/>
          <w:kern w:val="0"/>
          <w:sz w:val="32"/>
          <w:szCs w:val="32"/>
        </w:rPr>
        <w:t>天内缴入财政公物仓</w:t>
      </w:r>
      <w:r>
        <w:rPr>
          <w:rFonts w:hint="eastAsia" w:ascii="仿宋_GB2312" w:hAnsi="ˎ̥" w:eastAsia="仿宋_GB2312" w:cs="宋体"/>
          <w:kern w:val="0"/>
          <w:sz w:val="32"/>
          <w:szCs w:val="32"/>
        </w:rPr>
        <w:t>。</w:t>
      </w:r>
    </w:p>
    <w:p w14:paraId="19FC303E">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（四）使用财政性资金举办的大型活动（含会议、展览、典礼、文体、普查和调查）及突发性工作等所购置的实物资产，由活动承办部门负责，在活动结束后</w:t>
      </w:r>
      <w:r>
        <w:rPr>
          <w:rFonts w:hint="default" w:ascii="Times New Roman" w:hAnsi="Times New Roman" w:eastAsia="仿宋_GB2312" w:cs="Times New Roman"/>
          <w:color w:val="000000"/>
          <w:kern w:val="0"/>
          <w:sz w:val="32"/>
          <w:szCs w:val="32"/>
        </w:rPr>
        <w:t>1</w:t>
      </w:r>
      <w:r>
        <w:rPr>
          <w:rFonts w:hint="eastAsia" w:ascii="仿宋_GB2312" w:hAnsi="ˎ̥" w:eastAsia="仿宋_GB2312" w:cs="宋体"/>
          <w:color w:val="000000"/>
          <w:kern w:val="0"/>
          <w:sz w:val="32"/>
          <w:szCs w:val="32"/>
        </w:rPr>
        <w:t>个月内全部上缴财政公物仓。对定期举办的大型活动购置的实物资产，可由活动承办单位负责管理并接受财政定期核查。</w:t>
      </w:r>
    </w:p>
    <w:p w14:paraId="365256D4">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（五）被撤销的行政事业单位或临时性机构，其原有的所有资产，必须在撤销后的</w:t>
      </w:r>
      <w:r>
        <w:rPr>
          <w:rFonts w:hint="default" w:ascii="Times New Roman" w:hAnsi="Times New Roman" w:eastAsia="仿宋_GB2312" w:cs="Times New Roman"/>
          <w:color w:val="000000"/>
          <w:kern w:val="0"/>
          <w:sz w:val="32"/>
          <w:szCs w:val="32"/>
        </w:rPr>
        <w:t>1</w:t>
      </w:r>
      <w:r>
        <w:rPr>
          <w:rFonts w:hint="eastAsia" w:ascii="仿宋_GB2312" w:hAnsi="ˎ̥" w:eastAsia="仿宋_GB2312" w:cs="宋体"/>
          <w:color w:val="000000"/>
          <w:kern w:val="0"/>
          <w:sz w:val="32"/>
          <w:szCs w:val="32"/>
        </w:rPr>
        <w:t>个月内全部上缴财政公物仓。</w:t>
      </w:r>
    </w:p>
    <w:p w14:paraId="74CC6478">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（六）被合并的行政事业单位，其所有资产全部归并并入单位。如果有多余的资产，必须在合并调整结束后的</w:t>
      </w:r>
      <w:r>
        <w:rPr>
          <w:rFonts w:hint="default" w:ascii="Times New Roman" w:hAnsi="Times New Roman" w:eastAsia="仿宋_GB2312" w:cs="Times New Roman"/>
          <w:color w:val="000000"/>
          <w:kern w:val="0"/>
          <w:sz w:val="32"/>
          <w:szCs w:val="32"/>
        </w:rPr>
        <w:t>1</w:t>
      </w:r>
      <w:r>
        <w:rPr>
          <w:rFonts w:hint="eastAsia" w:ascii="仿宋_GB2312" w:hAnsi="ˎ̥" w:eastAsia="仿宋_GB2312" w:cs="宋体"/>
          <w:color w:val="000000"/>
          <w:kern w:val="0"/>
          <w:sz w:val="32"/>
          <w:szCs w:val="32"/>
        </w:rPr>
        <w:t>个月内全部上缴财政公物仓。</w:t>
      </w:r>
    </w:p>
    <w:p w14:paraId="328CFFBA">
      <w:pPr>
        <w:pStyle w:val="6"/>
        <w:shd w:val="clear" w:color="auto" w:fill="FFFFFF"/>
        <w:snapToGrid w:val="0"/>
        <w:spacing w:before="0" w:beforeAutospacing="0" w:after="0" w:afterAutospacing="0" w:line="520" w:lineRule="exact"/>
        <w:ind w:firstLine="624" w:firstLineChars="200"/>
        <w:jc w:val="both"/>
        <w:rPr>
          <w:rFonts w:hint="eastAsia" w:ascii="仿宋_GB2312" w:hAnsi="Times New Roman" w:eastAsia="仿宋_GB2312" w:cs="Times New Roman"/>
          <w:color w:val="222222"/>
          <w:sz w:val="32"/>
          <w:szCs w:val="32"/>
        </w:rPr>
      </w:pPr>
      <w:r>
        <w:rPr>
          <w:rFonts w:hint="eastAsia" w:ascii="仿宋_GB2312" w:eastAsia="仿宋_GB2312" w:cs="Times New Roman"/>
          <w:color w:val="222222"/>
          <w:sz w:val="32"/>
          <w:szCs w:val="32"/>
        </w:rPr>
        <w:t>公物仓的入库手续。根据移交和采购清单办理入库手续，入库手续办理分为集中保管、委托保管和移交单位保管三种类型，具体如下：</w:t>
      </w:r>
    </w:p>
    <w:p w14:paraId="15A9AC7F">
      <w:pPr>
        <w:pStyle w:val="6"/>
        <w:shd w:val="clear" w:color="auto" w:fill="FFFFFF"/>
        <w:snapToGrid w:val="0"/>
        <w:spacing w:before="0" w:beforeAutospacing="0" w:after="0" w:afterAutospacing="0" w:line="520" w:lineRule="exact"/>
        <w:ind w:firstLine="624" w:firstLineChars="200"/>
        <w:jc w:val="both"/>
        <w:rPr>
          <w:rFonts w:hint="eastAsia" w:ascii="仿宋_GB2312" w:hAnsi="Times New Roman" w:eastAsia="仿宋_GB2312" w:cs="Times New Roman"/>
          <w:color w:val="222222"/>
          <w:sz w:val="32"/>
          <w:szCs w:val="32"/>
        </w:rPr>
      </w:pPr>
      <w:r>
        <w:rPr>
          <w:rFonts w:hint="eastAsia" w:ascii="仿宋_GB2312" w:eastAsia="仿宋_GB2312" w:cs="Times New Roman"/>
          <w:color w:val="222222"/>
          <w:sz w:val="32"/>
          <w:szCs w:val="32"/>
        </w:rPr>
        <w:t>（一）集中保管。公物仓要根据自身仓储条件，最大限度的拓展集中仓储管理工作，集中保管资产在办理验收后，直接分类入库。</w:t>
      </w:r>
    </w:p>
    <w:p w14:paraId="749DFED9">
      <w:pPr>
        <w:pStyle w:val="6"/>
        <w:shd w:val="clear" w:color="auto" w:fill="FFFFFF"/>
        <w:spacing w:before="0" w:beforeAutospacing="0" w:after="0" w:afterAutospacing="0" w:line="520" w:lineRule="exact"/>
        <w:ind w:firstLine="624" w:firstLineChars="200"/>
        <w:jc w:val="both"/>
        <w:rPr>
          <w:rFonts w:hint="eastAsia" w:ascii="仿宋_GB2312" w:hAnsi="Times New Roman" w:eastAsia="仿宋_GB2312" w:cs="Times New Roman"/>
          <w:color w:val="222222"/>
          <w:sz w:val="32"/>
          <w:szCs w:val="32"/>
        </w:rPr>
      </w:pPr>
      <w:r>
        <w:rPr>
          <w:rFonts w:hint="eastAsia" w:ascii="仿宋_GB2312" w:eastAsia="仿宋_GB2312" w:cs="Times New Roman"/>
          <w:color w:val="222222"/>
          <w:sz w:val="32"/>
          <w:szCs w:val="32"/>
        </w:rPr>
        <w:t>（二）委托保管。</w:t>
      </w:r>
      <w:r>
        <w:rPr>
          <w:rFonts w:hint="eastAsia" w:ascii="仿宋_GB2312" w:eastAsia="仿宋_GB2312" w:cs="Times New Roman"/>
          <w:color w:val="222222"/>
          <w:sz w:val="32"/>
          <w:szCs w:val="32"/>
          <w:lang w:val="en-US" w:eastAsia="zh-CN"/>
        </w:rPr>
        <w:t>县</w:t>
      </w:r>
      <w:r>
        <w:rPr>
          <w:rFonts w:hint="eastAsia" w:ascii="仿宋_GB2312" w:eastAsia="仿宋_GB2312" w:cs="Times New Roman"/>
          <w:color w:val="222222"/>
          <w:sz w:val="32"/>
          <w:szCs w:val="32"/>
        </w:rPr>
        <w:t>公物仓对不具备保管条件的资产，可提出委托指定单位保管的意见，经</w:t>
      </w:r>
      <w:r>
        <w:rPr>
          <w:rFonts w:hint="eastAsia" w:ascii="仿宋_GB2312" w:eastAsia="仿宋_GB2312" w:cs="Times New Roman"/>
          <w:color w:val="222222"/>
          <w:sz w:val="32"/>
          <w:szCs w:val="32"/>
          <w:lang w:val="en-US" w:eastAsia="zh-CN"/>
        </w:rPr>
        <w:t>县</w:t>
      </w:r>
      <w:r>
        <w:rPr>
          <w:rFonts w:hint="eastAsia" w:ascii="仿宋_GB2312" w:eastAsia="仿宋_GB2312" w:cs="Times New Roman"/>
          <w:color w:val="222222"/>
          <w:sz w:val="32"/>
          <w:szCs w:val="32"/>
        </w:rPr>
        <w:t>财政局批准后，</w:t>
      </w:r>
      <w:r>
        <w:rPr>
          <w:rFonts w:hint="eastAsia" w:ascii="仿宋_GB2312" w:eastAsia="仿宋_GB2312" w:cs="Times New Roman"/>
          <w:color w:val="222222"/>
          <w:sz w:val="32"/>
          <w:szCs w:val="32"/>
          <w:lang w:val="en-US" w:eastAsia="zh-CN"/>
        </w:rPr>
        <w:t>县</w:t>
      </w:r>
      <w:r>
        <w:rPr>
          <w:rFonts w:hint="eastAsia" w:ascii="仿宋_GB2312" w:eastAsia="仿宋_GB2312" w:cs="Times New Roman"/>
          <w:color w:val="222222"/>
          <w:sz w:val="32"/>
          <w:szCs w:val="32"/>
        </w:rPr>
        <w:t>公物仓与受托保管单位签订代保管协议，组织资产验收后，办理委托保管资产的入库手续。</w:t>
      </w:r>
    </w:p>
    <w:p w14:paraId="53E241AC">
      <w:pPr>
        <w:pStyle w:val="6"/>
        <w:shd w:val="clear" w:color="auto" w:fill="FFFFFF"/>
        <w:spacing w:before="0" w:beforeAutospacing="0" w:after="0" w:afterAutospacing="0" w:line="520" w:lineRule="exact"/>
        <w:ind w:firstLine="624" w:firstLineChars="200"/>
        <w:jc w:val="both"/>
        <w:rPr>
          <w:rFonts w:hint="eastAsia" w:ascii="仿宋_GB2312" w:hAnsi="Times New Roman" w:eastAsia="仿宋_GB2312" w:cs="Times New Roman"/>
          <w:color w:val="222222"/>
          <w:sz w:val="32"/>
          <w:szCs w:val="32"/>
        </w:rPr>
      </w:pPr>
      <w:r>
        <w:rPr>
          <w:rFonts w:hint="eastAsia" w:ascii="仿宋_GB2312" w:eastAsia="仿宋_GB2312" w:cs="Times New Roman"/>
          <w:color w:val="222222"/>
          <w:sz w:val="32"/>
          <w:szCs w:val="32"/>
        </w:rPr>
        <w:t>（三）移交单位保管。对不宜集中的大型、笨重、需要再安装或运送(市区以外)成本较高</w:t>
      </w:r>
      <w:r>
        <w:rPr>
          <w:rFonts w:hint="eastAsia" w:ascii="仿宋_GB2312" w:eastAsia="仿宋_GB2312" w:cs="Times New Roman"/>
          <w:color w:val="000000"/>
          <w:sz w:val="32"/>
          <w:szCs w:val="32"/>
        </w:rPr>
        <w:t>、暂时无法实现集中保管</w:t>
      </w:r>
      <w:r>
        <w:rPr>
          <w:rFonts w:hint="eastAsia" w:ascii="仿宋_GB2312" w:eastAsia="仿宋_GB2312" w:cs="Times New Roman"/>
          <w:color w:val="222222"/>
          <w:sz w:val="32"/>
          <w:szCs w:val="32"/>
        </w:rPr>
        <w:t>等的资产，</w:t>
      </w:r>
      <w:r>
        <w:rPr>
          <w:rFonts w:hint="eastAsia" w:ascii="仿宋_GB2312" w:eastAsia="仿宋_GB2312" w:cs="Times New Roman"/>
          <w:color w:val="222222"/>
          <w:sz w:val="32"/>
          <w:szCs w:val="32"/>
          <w:lang w:val="en-US" w:eastAsia="zh-CN"/>
        </w:rPr>
        <w:t>县</w:t>
      </w:r>
      <w:r>
        <w:rPr>
          <w:rFonts w:hint="eastAsia" w:ascii="仿宋_GB2312" w:eastAsia="仿宋_GB2312" w:cs="Times New Roman"/>
          <w:color w:val="222222"/>
          <w:sz w:val="32"/>
          <w:szCs w:val="32"/>
        </w:rPr>
        <w:t>公物仓提出移交单位保管的意见，报经</w:t>
      </w:r>
      <w:r>
        <w:rPr>
          <w:rFonts w:hint="eastAsia" w:ascii="仿宋_GB2312" w:eastAsia="仿宋_GB2312" w:cs="Times New Roman"/>
          <w:color w:val="222222"/>
          <w:sz w:val="32"/>
          <w:szCs w:val="32"/>
          <w:lang w:val="en-US" w:eastAsia="zh-CN"/>
        </w:rPr>
        <w:t>县</w:t>
      </w:r>
      <w:r>
        <w:rPr>
          <w:rFonts w:hint="eastAsia" w:ascii="仿宋_GB2312" w:eastAsia="仿宋_GB2312" w:cs="Times New Roman"/>
          <w:color w:val="222222"/>
          <w:sz w:val="32"/>
          <w:szCs w:val="32"/>
        </w:rPr>
        <w:t>财政局批准后，与移交单位签订代保管协议，组织资产验收后，办理委托保管资产的入库手续。</w:t>
      </w:r>
    </w:p>
    <w:p w14:paraId="07429297">
      <w:pPr>
        <w:numPr>
          <w:ilvl w:val="0"/>
          <w:numId w:val="0"/>
        </w:numPr>
        <w:spacing w:line="560" w:lineRule="exact"/>
        <w:ind w:left="626" w:leftChars="0"/>
        <w:jc w:val="both"/>
        <w:rPr>
          <w:rFonts w:hint="eastAsia" w:ascii="仿宋_GB2312" w:hAnsi="ˎ̥" w:eastAsia="仿宋_GB2312" w:cs="宋体"/>
          <w:color w:val="000000"/>
          <w:kern w:val="0"/>
          <w:sz w:val="32"/>
          <w:szCs w:val="32"/>
        </w:rPr>
      </w:pPr>
      <w:r>
        <w:rPr>
          <w:rFonts w:hint="default" w:ascii="仿宋_GB2312" w:hAnsi="ˎ̥" w:cs="宋体"/>
          <w:color w:val="000000"/>
          <w:kern w:val="0"/>
          <w:sz w:val="32"/>
          <w:szCs w:val="32"/>
          <w:woUserID w:val="1"/>
        </w:rPr>
        <w:t>十、</w:t>
      </w:r>
      <w:r>
        <w:rPr>
          <w:rFonts w:hint="eastAsia" w:ascii="仿宋_GB2312" w:hAnsi="ˎ̥" w:eastAsia="仿宋_GB2312" w:cs="宋体"/>
          <w:color w:val="000000"/>
          <w:kern w:val="0"/>
          <w:sz w:val="32"/>
          <w:szCs w:val="32"/>
        </w:rPr>
        <w:t>公物仓资产的调配（拨）、使用。</w:t>
      </w:r>
    </w:p>
    <w:p w14:paraId="709D40BB">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eastAsia="仿宋_GB2312"/>
          <w:color w:val="000000"/>
          <w:sz w:val="32"/>
          <w:szCs w:val="32"/>
          <w:lang w:val="en-US" w:eastAsia="zh-CN"/>
        </w:rPr>
        <w:t>县</w:t>
      </w:r>
      <w:r>
        <w:rPr>
          <w:rFonts w:hint="eastAsia" w:ascii="仿宋_GB2312" w:eastAsia="仿宋_GB2312"/>
          <w:color w:val="000000"/>
          <w:sz w:val="32"/>
          <w:szCs w:val="32"/>
        </w:rPr>
        <w:t>本级行政事业单位、临时机构如需资产配置（更新）的，应优先在公物仓资产范围内调配（拨）解决。</w:t>
      </w:r>
    </w:p>
    <w:p w14:paraId="048671DA">
      <w:pPr>
        <w:pStyle w:val="3"/>
        <w:jc w:val="both"/>
        <w:rPr>
          <w:rFonts w:hint="eastAsia"/>
          <w:sz w:val="32"/>
          <w:szCs w:val="32"/>
        </w:rPr>
      </w:pPr>
      <w:r>
        <w:rPr>
          <w:rFonts w:hint="eastAsia"/>
          <w:sz w:val="32"/>
          <w:szCs w:val="32"/>
        </w:rPr>
        <w:t>公物仓资产调配（拨）或借用，由使用单位提出申请，</w:t>
      </w:r>
      <w:r>
        <w:rPr>
          <w:rFonts w:hint="eastAsia"/>
          <w:sz w:val="32"/>
          <w:szCs w:val="32"/>
          <w:lang w:val="en-US" w:eastAsia="zh-CN"/>
        </w:rPr>
        <w:t>县</w:t>
      </w:r>
      <w:r>
        <w:rPr>
          <w:rFonts w:hint="eastAsia"/>
          <w:sz w:val="32"/>
          <w:szCs w:val="32"/>
        </w:rPr>
        <w:t>财政局审核批准并与使用单位按规定办理相关手续。</w:t>
      </w:r>
    </w:p>
    <w:p w14:paraId="618106E4">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kern w:val="0"/>
          <w:sz w:val="32"/>
          <w:szCs w:val="32"/>
        </w:rPr>
        <w:t>（一）调配（拨）单位使用。公物仓资产由使用单位提出申请并经</w:t>
      </w:r>
      <w:r>
        <w:rPr>
          <w:rFonts w:hint="eastAsia" w:ascii="仿宋_GB2312" w:hAnsi="ˎ̥" w:eastAsia="仿宋_GB2312" w:cs="宋体"/>
          <w:kern w:val="0"/>
          <w:sz w:val="32"/>
          <w:szCs w:val="32"/>
          <w:lang w:val="en-US" w:eastAsia="zh-CN"/>
        </w:rPr>
        <w:t>县</w:t>
      </w:r>
      <w:r>
        <w:rPr>
          <w:rFonts w:hint="eastAsia" w:ascii="仿宋_GB2312" w:hAnsi="ˎ̥" w:eastAsia="仿宋_GB2312" w:cs="宋体"/>
          <w:kern w:val="0"/>
          <w:sz w:val="32"/>
          <w:szCs w:val="32"/>
        </w:rPr>
        <w:t>财政局审批同意调配（拨）单位使用的，由</w:t>
      </w:r>
      <w:r>
        <w:rPr>
          <w:rFonts w:hint="eastAsia" w:ascii="仿宋_GB2312" w:hAnsi="ˎ̥" w:eastAsia="仿宋_GB2312" w:cs="宋体"/>
          <w:kern w:val="0"/>
          <w:sz w:val="32"/>
          <w:szCs w:val="32"/>
          <w:lang w:val="en-US" w:eastAsia="zh-CN"/>
        </w:rPr>
        <w:t>县</w:t>
      </w:r>
      <w:r>
        <w:rPr>
          <w:rFonts w:hint="eastAsia" w:ascii="仿宋_GB2312" w:hAnsi="ˎ̥" w:eastAsia="仿宋_GB2312" w:cs="宋体"/>
          <w:kern w:val="0"/>
          <w:sz w:val="32"/>
          <w:szCs w:val="32"/>
        </w:rPr>
        <w:t>财政局出具</w:t>
      </w:r>
      <w:r>
        <w:rPr>
          <w:rFonts w:hint="eastAsia" w:ascii="仿宋_GB2312" w:hAnsi="ˎ̥" w:eastAsia="仿宋_GB2312" w:cs="宋体"/>
          <w:color w:val="000000"/>
          <w:kern w:val="0"/>
          <w:sz w:val="32"/>
          <w:szCs w:val="32"/>
        </w:rPr>
        <w:t>《</w:t>
      </w:r>
      <w:r>
        <w:rPr>
          <w:rFonts w:hint="eastAsia" w:ascii="仿宋_GB2312" w:hAnsi="ˎ̥" w:eastAsia="仿宋_GB2312" w:cs="宋体"/>
          <w:color w:val="000000"/>
          <w:kern w:val="0"/>
          <w:sz w:val="32"/>
          <w:szCs w:val="32"/>
          <w:lang w:val="en-US" w:eastAsia="zh-CN"/>
        </w:rPr>
        <w:t>磐安县</w:t>
      </w:r>
      <w:r>
        <w:rPr>
          <w:rFonts w:hint="eastAsia" w:ascii="仿宋_GB2312" w:hAnsi="ˎ̥" w:eastAsia="仿宋_GB2312" w:cs="宋体"/>
          <w:color w:val="000000"/>
          <w:kern w:val="0"/>
          <w:sz w:val="32"/>
          <w:szCs w:val="32"/>
        </w:rPr>
        <w:t>财政公物仓资产调配（拨）通知书》</w:t>
      </w:r>
      <w:r>
        <w:rPr>
          <w:rFonts w:hint="default" w:ascii="Times New Roman" w:hAnsi="Times New Roman" w:eastAsia="仿宋_GB2312" w:cs="Times New Roman"/>
          <w:color w:val="000000"/>
          <w:kern w:val="0"/>
          <w:sz w:val="32"/>
          <w:szCs w:val="32"/>
        </w:rPr>
        <w:t>（附件2），公物仓管理人员确认后办理出库手续。资产使用单位</w:t>
      </w:r>
      <w:r>
        <w:rPr>
          <w:rFonts w:hint="eastAsia" w:ascii="仿宋_GB2312" w:hAnsi="ˎ̥" w:eastAsia="仿宋_GB2312" w:cs="宋体"/>
          <w:color w:val="000000"/>
          <w:kern w:val="0"/>
          <w:sz w:val="32"/>
          <w:szCs w:val="32"/>
        </w:rPr>
        <w:t>对调拨资产要及时登记，进行账务处理，纳入单位资产日常管理。</w:t>
      </w:r>
    </w:p>
    <w:p w14:paraId="58A7A8B1">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（二）单位临时借用。单位临时借用公物仓资产应填写《</w:t>
      </w:r>
      <w:r>
        <w:rPr>
          <w:rFonts w:hint="eastAsia" w:ascii="仿宋_GB2312" w:hAnsi="ˎ̥" w:eastAsia="仿宋_GB2312" w:cs="宋体"/>
          <w:color w:val="000000"/>
          <w:kern w:val="0"/>
          <w:sz w:val="32"/>
          <w:szCs w:val="32"/>
          <w:lang w:val="en-US" w:eastAsia="zh-CN"/>
        </w:rPr>
        <w:t>磐安县</w:t>
      </w:r>
      <w:r>
        <w:rPr>
          <w:rFonts w:hint="eastAsia" w:ascii="仿宋_GB2312" w:hAnsi="ˎ̥" w:eastAsia="仿宋_GB2312" w:cs="宋体"/>
          <w:color w:val="000000"/>
          <w:kern w:val="0"/>
          <w:sz w:val="32"/>
          <w:szCs w:val="32"/>
        </w:rPr>
        <w:t>财政公物仓资产借用登记表》（附</w:t>
      </w:r>
      <w:r>
        <w:rPr>
          <w:rFonts w:hint="default" w:ascii="Times New Roman" w:hAnsi="Times New Roman" w:eastAsia="仿宋_GB2312" w:cs="Times New Roman"/>
          <w:color w:val="000000"/>
          <w:kern w:val="0"/>
          <w:sz w:val="32"/>
          <w:szCs w:val="32"/>
        </w:rPr>
        <w:t>件3</w:t>
      </w:r>
      <w:r>
        <w:rPr>
          <w:rFonts w:hint="eastAsia" w:ascii="仿宋_GB2312" w:hAnsi="ˎ̥" w:eastAsia="仿宋_GB2312" w:cs="宋体"/>
          <w:color w:val="000000"/>
          <w:kern w:val="0"/>
          <w:sz w:val="32"/>
          <w:szCs w:val="32"/>
        </w:rPr>
        <w:t>），办理相关审批手续,公物仓管理人员按审批意见办理相应出库手续。归还资产时，</w:t>
      </w:r>
      <w:r>
        <w:rPr>
          <w:rFonts w:hint="eastAsia" w:ascii="仿宋_GB2312" w:hAnsi="ˎ̥" w:eastAsia="仿宋_GB2312" w:cs="宋体"/>
          <w:color w:val="000000"/>
          <w:kern w:val="0"/>
          <w:sz w:val="32"/>
          <w:szCs w:val="32"/>
          <w:lang w:val="en-US" w:eastAsia="zh-CN"/>
        </w:rPr>
        <w:t>归还单位</w:t>
      </w:r>
      <w:r>
        <w:rPr>
          <w:rFonts w:hint="eastAsia" w:ascii="仿宋_GB2312" w:hAnsi="ˎ̥" w:eastAsia="仿宋_GB2312" w:cs="宋体"/>
          <w:color w:val="000000"/>
          <w:kern w:val="0"/>
          <w:sz w:val="32"/>
          <w:szCs w:val="32"/>
        </w:rPr>
        <w:t>应在</w:t>
      </w:r>
      <w:r>
        <w:rPr>
          <w:rFonts w:hint="eastAsia" w:ascii="仿宋_GB2312" w:eastAsia="仿宋_GB2312" w:cs="宋体"/>
          <w:color w:val="000000"/>
          <w:kern w:val="0"/>
          <w:sz w:val="32"/>
          <w:szCs w:val="32"/>
        </w:rPr>
        <w:t>《</w:t>
      </w:r>
      <w:r>
        <w:rPr>
          <w:rFonts w:hint="eastAsia" w:ascii="仿宋_GB2312" w:hAnsi="ˎ̥" w:eastAsia="仿宋_GB2312" w:cs="宋体"/>
          <w:color w:val="000000"/>
          <w:kern w:val="0"/>
          <w:sz w:val="32"/>
          <w:szCs w:val="32"/>
          <w:lang w:val="en-US" w:eastAsia="zh-CN"/>
        </w:rPr>
        <w:t>磐安县</w:t>
      </w:r>
      <w:r>
        <w:rPr>
          <w:rFonts w:hint="eastAsia" w:ascii="仿宋_GB2312" w:hAnsi="ˎ̥" w:eastAsia="仿宋_GB2312" w:cs="宋体"/>
          <w:color w:val="000000"/>
          <w:kern w:val="0"/>
          <w:sz w:val="32"/>
          <w:szCs w:val="32"/>
        </w:rPr>
        <w:t>公物仓资产借用登记表》上填写资产归还情况,经公物仓管理人员验收确认后办理归还入库手续。资产借用单位要确保资产在借用期间的安全完整。</w:t>
      </w:r>
    </w:p>
    <w:p w14:paraId="7701A398">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（三）经</w:t>
      </w:r>
      <w:r>
        <w:rPr>
          <w:rFonts w:hint="eastAsia" w:ascii="仿宋_GB2312" w:hAnsi="ˎ̥" w:eastAsia="仿宋_GB2312" w:cs="宋体"/>
          <w:color w:val="000000"/>
          <w:kern w:val="0"/>
          <w:sz w:val="32"/>
          <w:szCs w:val="32"/>
          <w:lang w:val="en-US" w:eastAsia="zh-CN"/>
        </w:rPr>
        <w:t>县</w:t>
      </w:r>
      <w:r>
        <w:rPr>
          <w:rFonts w:hint="eastAsia" w:ascii="仿宋_GB2312" w:hAnsi="ˎ̥" w:eastAsia="仿宋_GB2312" w:cs="宋体"/>
          <w:color w:val="000000"/>
          <w:kern w:val="0"/>
          <w:sz w:val="32"/>
          <w:szCs w:val="32"/>
        </w:rPr>
        <w:t>委、</w:t>
      </w:r>
      <w:r>
        <w:rPr>
          <w:rFonts w:hint="eastAsia" w:ascii="仿宋_GB2312" w:hAnsi="ˎ̥" w:eastAsia="仿宋_GB2312" w:cs="宋体"/>
          <w:color w:val="000000"/>
          <w:kern w:val="0"/>
          <w:sz w:val="32"/>
          <w:szCs w:val="32"/>
          <w:lang w:val="en-US" w:eastAsia="zh-CN"/>
        </w:rPr>
        <w:t>县</w:t>
      </w:r>
      <w:r>
        <w:rPr>
          <w:rFonts w:hint="eastAsia" w:ascii="仿宋_GB2312" w:hAnsi="ˎ̥" w:eastAsia="仿宋_GB2312" w:cs="宋体"/>
          <w:color w:val="000000"/>
          <w:kern w:val="0"/>
          <w:sz w:val="32"/>
          <w:szCs w:val="32"/>
        </w:rPr>
        <w:t>政府批准设立的临时机构、行政事业单位举办的大型活动所需资产，原则上通过公物仓进行调剂配置。凡公物仓内资产能够满足工作需要的，一律不得新购，由使用单位办理公物仓资产借用手续。</w:t>
      </w:r>
    </w:p>
    <w:p w14:paraId="4A65F44B">
      <w:pPr>
        <w:spacing w:line="560" w:lineRule="exact"/>
        <w:ind w:firstLine="624" w:firstLineChars="200"/>
        <w:jc w:val="both"/>
        <w:rPr>
          <w:rFonts w:hint="eastAsia" w:ascii="仿宋_GB2312" w:hAnsi="ˎ̥" w:eastAsia="仿宋_GB2312" w:cs="宋体"/>
          <w:color w:val="000000"/>
          <w:kern w:val="0"/>
          <w:sz w:val="32"/>
          <w:szCs w:val="32"/>
        </w:rPr>
      </w:pPr>
      <w:r>
        <w:rPr>
          <w:rFonts w:hint="default" w:ascii="仿宋_GB2312" w:hAnsi="ˎ̥" w:cs="宋体"/>
          <w:color w:val="000000"/>
          <w:kern w:val="0"/>
          <w:sz w:val="32"/>
          <w:szCs w:val="32"/>
          <w:woUserID w:val="1"/>
        </w:rPr>
        <w:t>十一、</w:t>
      </w:r>
      <w:r>
        <w:rPr>
          <w:rFonts w:hint="eastAsia" w:ascii="仿宋_GB2312" w:hAnsi="ˎ̥" w:eastAsia="仿宋_GB2312" w:cs="宋体"/>
          <w:color w:val="000000"/>
          <w:kern w:val="0"/>
          <w:sz w:val="32"/>
          <w:szCs w:val="32"/>
        </w:rPr>
        <w:t>公物仓资产的处置。</w:t>
      </w:r>
    </w:p>
    <w:p w14:paraId="6006C3DE">
      <w:pPr>
        <w:spacing w:line="560" w:lineRule="exact"/>
        <w:ind w:firstLine="624" w:firstLineChars="200"/>
        <w:jc w:val="both"/>
        <w:rPr>
          <w:rFonts w:hint="eastAsia" w:ascii="仿宋_GB2312" w:hAnsi="ˎ̥" w:eastAsia="仿宋_GB2312" w:cs="宋体"/>
          <w:color w:val="FF0000"/>
          <w:kern w:val="0"/>
          <w:sz w:val="32"/>
          <w:szCs w:val="32"/>
        </w:rPr>
      </w:pPr>
      <w:r>
        <w:rPr>
          <w:rFonts w:hint="eastAsia" w:ascii="仿宋_GB2312" w:hAnsi="ˎ̥" w:eastAsia="仿宋_GB2312" w:cs="宋体"/>
          <w:color w:val="000000"/>
          <w:kern w:val="0"/>
          <w:sz w:val="32"/>
          <w:szCs w:val="32"/>
        </w:rPr>
        <w:t>（一）</w:t>
      </w:r>
      <w:r>
        <w:rPr>
          <w:rFonts w:hint="eastAsia" w:ascii="仿宋_GB2312" w:hAnsi="ˎ̥" w:eastAsia="仿宋_GB2312" w:cs="宋体"/>
          <w:color w:val="000000"/>
          <w:kern w:val="0"/>
          <w:sz w:val="32"/>
          <w:szCs w:val="32"/>
          <w:lang w:val="en-US" w:eastAsia="zh-CN"/>
        </w:rPr>
        <w:t>对不宜进行调配处理的资产，由资产评估中介机构进行价格评估后，按相关规定流程组织公开拍卖，并办理相应出库手续。</w:t>
      </w:r>
    </w:p>
    <w:p w14:paraId="34A526AB">
      <w:pPr>
        <w:pStyle w:val="2"/>
        <w:widowControl w:val="0"/>
        <w:spacing w:line="560" w:lineRule="exact"/>
        <w:ind w:firstLine="624" w:firstLineChars="200"/>
        <w:jc w:val="both"/>
        <w:rPr>
          <w:rFonts w:hint="eastAsia"/>
          <w:sz w:val="32"/>
          <w:szCs w:val="32"/>
        </w:rPr>
      </w:pPr>
      <w:r>
        <w:rPr>
          <w:rFonts w:hint="eastAsia"/>
          <w:sz w:val="32"/>
          <w:szCs w:val="32"/>
        </w:rPr>
        <w:t>（二）公物仓资产需报废、报损及捐赠的，按规定程序报批后办理资产报废、报损及出库手续。</w:t>
      </w:r>
    </w:p>
    <w:p w14:paraId="0399C65B">
      <w:pPr>
        <w:pStyle w:val="2"/>
        <w:widowControl w:val="0"/>
        <w:spacing w:line="560" w:lineRule="exact"/>
        <w:ind w:firstLine="624" w:firstLineChars="200"/>
        <w:jc w:val="both"/>
        <w:rPr>
          <w:rFonts w:hint="eastAsia"/>
          <w:color w:val="FF0000"/>
          <w:sz w:val="32"/>
          <w:szCs w:val="32"/>
        </w:rPr>
      </w:pPr>
      <w:r>
        <w:rPr>
          <w:rFonts w:hint="eastAsia"/>
          <w:sz w:val="32"/>
          <w:szCs w:val="32"/>
        </w:rPr>
        <w:t>（三）</w:t>
      </w:r>
      <w:r>
        <w:rPr>
          <w:rFonts w:hint="eastAsia"/>
          <w:sz w:val="32"/>
          <w:szCs w:val="32"/>
          <w:lang w:val="en-US" w:eastAsia="zh-CN"/>
        </w:rPr>
        <w:t>对不宜进行拍卖的资产，按照资产处置相关规定执行,并办理相应出库手续。</w:t>
      </w:r>
    </w:p>
    <w:p w14:paraId="787C935C">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（四）公物仓资产用于公益捐赠的，经</w:t>
      </w:r>
      <w:r>
        <w:rPr>
          <w:rFonts w:hint="eastAsia" w:ascii="仿宋_GB2312" w:hAnsi="ˎ̥" w:eastAsia="仿宋_GB2312" w:cs="宋体"/>
          <w:color w:val="000000"/>
          <w:kern w:val="0"/>
          <w:sz w:val="32"/>
          <w:szCs w:val="32"/>
          <w:lang w:val="en-US" w:eastAsia="zh-CN"/>
        </w:rPr>
        <w:t>县</w:t>
      </w:r>
      <w:r>
        <w:rPr>
          <w:rFonts w:hint="eastAsia" w:ascii="仿宋_GB2312" w:hAnsi="ˎ̥" w:eastAsia="仿宋_GB2312" w:cs="宋体"/>
          <w:color w:val="000000"/>
          <w:kern w:val="0"/>
          <w:sz w:val="32"/>
          <w:szCs w:val="32"/>
        </w:rPr>
        <w:t>财政局审批，并与接受单位办理相关捐赠手续后办理出库。</w:t>
      </w:r>
    </w:p>
    <w:p w14:paraId="18DA861B">
      <w:pPr>
        <w:spacing w:line="560" w:lineRule="exact"/>
        <w:ind w:firstLine="624" w:firstLineChars="200"/>
        <w:jc w:val="both"/>
        <w:rPr>
          <w:rFonts w:hint="eastAsia" w:ascii="仿宋_GB2312" w:hAnsi="ˎ̥" w:eastAsia="仿宋_GB2312" w:cs="宋体"/>
          <w:b w:val="0"/>
          <w:bCs w:val="0"/>
          <w:color w:val="000000"/>
          <w:kern w:val="0"/>
          <w:sz w:val="32"/>
          <w:szCs w:val="32"/>
        </w:rPr>
      </w:pPr>
      <w:r>
        <w:rPr>
          <w:rFonts w:hint="eastAsia" w:ascii="仿宋_GB2312" w:hAnsi="ˎ̥" w:eastAsia="仿宋_GB2312" w:cs="宋体"/>
          <w:b w:val="0"/>
          <w:bCs w:val="0"/>
          <w:color w:val="000000"/>
          <w:kern w:val="0"/>
          <w:sz w:val="32"/>
          <w:szCs w:val="32"/>
        </w:rPr>
        <w:t>十二</w:t>
      </w:r>
      <w:r>
        <w:rPr>
          <w:rFonts w:hint="default" w:ascii="仿宋_GB2312" w:hAnsi="ˎ̥" w:cs="宋体"/>
          <w:b w:val="0"/>
          <w:bCs w:val="0"/>
          <w:color w:val="000000"/>
          <w:kern w:val="0"/>
          <w:sz w:val="32"/>
          <w:szCs w:val="32"/>
          <w:woUserID w:val="1"/>
        </w:rPr>
        <w:t>、</w:t>
      </w:r>
      <w:r>
        <w:rPr>
          <w:rFonts w:hint="eastAsia" w:ascii="仿宋_GB2312" w:hAnsi="ˎ̥" w:eastAsia="仿宋_GB2312" w:cs="宋体"/>
          <w:b w:val="0"/>
          <w:bCs w:val="0"/>
          <w:color w:val="000000"/>
          <w:kern w:val="0"/>
          <w:sz w:val="32"/>
          <w:szCs w:val="32"/>
        </w:rPr>
        <w:t>行政执法机关收缴的各类罚没物资</w:t>
      </w:r>
      <w:r>
        <w:rPr>
          <w:rFonts w:hint="eastAsia" w:ascii="仿宋_GB2312" w:hAnsi="ˎ̥" w:eastAsia="仿宋_GB2312" w:cs="宋体"/>
          <w:b w:val="0"/>
          <w:bCs w:val="0"/>
          <w:kern w:val="0"/>
          <w:sz w:val="32"/>
          <w:szCs w:val="32"/>
        </w:rPr>
        <w:t>，严格按照</w:t>
      </w:r>
      <w:r>
        <w:rPr>
          <w:rFonts w:hint="eastAsia" w:ascii="仿宋_GB2312" w:hAnsi="ˎ̥" w:eastAsia="仿宋_GB2312" w:cs="宋体"/>
          <w:b w:val="0"/>
          <w:bCs w:val="0"/>
          <w:color w:val="000000"/>
          <w:kern w:val="0"/>
          <w:sz w:val="32"/>
          <w:szCs w:val="32"/>
        </w:rPr>
        <w:t>国家、省及市有关文件执行。</w:t>
      </w:r>
    </w:p>
    <w:p w14:paraId="110145E1">
      <w:pPr>
        <w:spacing w:line="560" w:lineRule="exact"/>
        <w:ind w:firstLine="624" w:firstLineChars="200"/>
        <w:jc w:val="both"/>
        <w:rPr>
          <w:rFonts w:hint="eastAsia" w:ascii="仿宋_GB2312" w:hAnsi="ˎ̥" w:eastAsia="仿宋_GB2312" w:cs="宋体"/>
          <w:b w:val="0"/>
          <w:bCs w:val="0"/>
          <w:color w:val="000000"/>
          <w:kern w:val="0"/>
          <w:sz w:val="32"/>
          <w:szCs w:val="32"/>
        </w:rPr>
      </w:pPr>
      <w:r>
        <w:rPr>
          <w:rFonts w:hint="eastAsia" w:ascii="仿宋_GB2312" w:hAnsi="ˎ̥" w:eastAsia="仿宋_GB2312" w:cs="宋体"/>
          <w:b w:val="0"/>
          <w:bCs w:val="0"/>
          <w:color w:val="000000"/>
          <w:kern w:val="0"/>
          <w:sz w:val="32"/>
          <w:szCs w:val="32"/>
        </w:rPr>
        <w:t>十三</w:t>
      </w:r>
      <w:r>
        <w:rPr>
          <w:rFonts w:hint="default" w:ascii="仿宋_GB2312" w:hAnsi="ˎ̥" w:cs="宋体"/>
          <w:b w:val="0"/>
          <w:bCs w:val="0"/>
          <w:color w:val="000000"/>
          <w:kern w:val="0"/>
          <w:sz w:val="32"/>
          <w:szCs w:val="32"/>
          <w:woUserID w:val="1"/>
        </w:rPr>
        <w:t>、</w:t>
      </w:r>
      <w:r>
        <w:rPr>
          <w:rFonts w:hint="eastAsia" w:ascii="仿宋_GB2312" w:hAnsi="ˎ̥" w:eastAsia="仿宋_GB2312" w:cs="宋体"/>
          <w:b w:val="0"/>
          <w:bCs w:val="0"/>
          <w:color w:val="000000"/>
          <w:kern w:val="0"/>
          <w:sz w:val="32"/>
          <w:szCs w:val="32"/>
        </w:rPr>
        <w:t>公物仓管理人员应严格执行各项规定，加强日常管理，及时办理好出入库手续,定期清点盘库，及时编报报表，确保账、册、物相符和资产的安全完整。</w:t>
      </w:r>
    </w:p>
    <w:p w14:paraId="2C564F52">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b w:val="0"/>
          <w:bCs w:val="0"/>
          <w:color w:val="000000"/>
          <w:kern w:val="0"/>
          <w:sz w:val="32"/>
          <w:szCs w:val="32"/>
        </w:rPr>
        <w:t>十四</w:t>
      </w:r>
      <w:r>
        <w:rPr>
          <w:rFonts w:hint="default" w:ascii="仿宋_GB2312" w:hAnsi="ˎ̥" w:cs="宋体"/>
          <w:b w:val="0"/>
          <w:bCs w:val="0"/>
          <w:color w:val="000000"/>
          <w:kern w:val="0"/>
          <w:sz w:val="32"/>
          <w:szCs w:val="32"/>
          <w:woUserID w:val="1"/>
        </w:rPr>
        <w:t>、</w:t>
      </w:r>
      <w:r>
        <w:rPr>
          <w:rFonts w:hint="eastAsia" w:ascii="仿宋_GB2312" w:hAnsi="ˎ̥" w:eastAsia="仿宋_GB2312" w:cs="宋体"/>
          <w:b w:val="0"/>
          <w:bCs w:val="0"/>
          <w:color w:val="000000"/>
          <w:kern w:val="0"/>
          <w:sz w:val="32"/>
          <w:szCs w:val="32"/>
        </w:rPr>
        <w:t>任</w:t>
      </w:r>
      <w:r>
        <w:rPr>
          <w:rFonts w:hint="eastAsia" w:ascii="仿宋_GB2312" w:hAnsi="ˎ̥" w:eastAsia="仿宋_GB2312" w:cs="宋体"/>
          <w:color w:val="000000"/>
          <w:kern w:val="0"/>
          <w:sz w:val="32"/>
          <w:szCs w:val="32"/>
        </w:rPr>
        <w:t>何单位无正当理由原则上不得拒绝接受公物仓调配的资产。对有违反的，原则上该单位不再新增或更新此类资产。</w:t>
      </w:r>
    </w:p>
    <w:p w14:paraId="0B05BD7D">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任何人员不得以任何形式挪用、调换和私分各类公物，如违反规定，应依法追究主管人员和直接责任人的行政责任；造成资产损失的，应负相应赔偿责任; 构成犯罪的，应依法追究刑事责任。</w:t>
      </w:r>
    </w:p>
    <w:p w14:paraId="1D66666F">
      <w:pPr>
        <w:spacing w:line="560" w:lineRule="exact"/>
        <w:ind w:firstLine="624" w:firstLineChars="200"/>
        <w:jc w:val="both"/>
        <w:rPr>
          <w:rFonts w:hint="eastAsia" w:ascii="仿宋_GB2312" w:hAnsi="ˎ̥" w:eastAsia="仿宋_GB2312" w:cs="宋体"/>
          <w:b w:val="0"/>
          <w:bCs w:val="0"/>
          <w:color w:val="000000"/>
          <w:kern w:val="0"/>
          <w:sz w:val="32"/>
          <w:szCs w:val="32"/>
        </w:rPr>
      </w:pPr>
      <w:r>
        <w:rPr>
          <w:rFonts w:hint="eastAsia" w:ascii="仿宋_GB2312" w:hAnsi="ˎ̥" w:eastAsia="仿宋_GB2312" w:cs="宋体"/>
          <w:color w:val="000000"/>
          <w:kern w:val="0"/>
          <w:sz w:val="32"/>
          <w:szCs w:val="32"/>
        </w:rPr>
        <w:t>对拒不配合此项工作的单位，将按照有关国有资产管理考核规定</w:t>
      </w:r>
      <w:r>
        <w:rPr>
          <w:rFonts w:hint="eastAsia" w:ascii="仿宋_GB2312" w:hAnsi="ˎ̥" w:eastAsia="仿宋_GB2312" w:cs="宋体"/>
          <w:b w:val="0"/>
          <w:bCs w:val="0"/>
          <w:color w:val="000000"/>
          <w:kern w:val="0"/>
          <w:sz w:val="32"/>
          <w:szCs w:val="32"/>
        </w:rPr>
        <w:t>，给予扣除年度绩效考评的相应分值。</w:t>
      </w:r>
    </w:p>
    <w:p w14:paraId="177FC2BF">
      <w:pPr>
        <w:spacing w:line="560" w:lineRule="exact"/>
        <w:ind w:firstLine="624" w:firstLineChars="200"/>
        <w:jc w:val="both"/>
        <w:rPr>
          <w:rFonts w:hint="eastAsia" w:ascii="仿宋_GB2312" w:hAnsi="ˎ̥" w:eastAsia="仿宋_GB2312" w:cs="宋体"/>
          <w:b w:val="0"/>
          <w:bCs w:val="0"/>
          <w:color w:val="000000"/>
          <w:kern w:val="0"/>
          <w:sz w:val="32"/>
          <w:szCs w:val="32"/>
        </w:rPr>
      </w:pPr>
      <w:r>
        <w:rPr>
          <w:rFonts w:hint="eastAsia" w:ascii="仿宋_GB2312" w:hAnsi="ˎ̥" w:eastAsia="仿宋_GB2312" w:cs="宋体"/>
          <w:b w:val="0"/>
          <w:bCs w:val="0"/>
          <w:color w:val="000000"/>
          <w:kern w:val="0"/>
          <w:sz w:val="32"/>
          <w:szCs w:val="32"/>
        </w:rPr>
        <w:t>十五</w:t>
      </w:r>
      <w:r>
        <w:rPr>
          <w:rFonts w:hint="default" w:ascii="仿宋_GB2312" w:hAnsi="ˎ̥" w:cs="宋体"/>
          <w:b w:val="0"/>
          <w:bCs w:val="0"/>
          <w:color w:val="000000"/>
          <w:kern w:val="0"/>
          <w:sz w:val="32"/>
          <w:szCs w:val="32"/>
          <w:woUserID w:val="1"/>
        </w:rPr>
        <w:t>、</w:t>
      </w:r>
      <w:r>
        <w:rPr>
          <w:rFonts w:hint="eastAsia" w:ascii="仿宋_GB2312" w:hAnsi="ˎ̥" w:eastAsia="仿宋_GB2312" w:cs="宋体"/>
          <w:b w:val="0"/>
          <w:bCs w:val="0"/>
          <w:color w:val="000000"/>
          <w:kern w:val="0"/>
          <w:sz w:val="32"/>
          <w:szCs w:val="32"/>
        </w:rPr>
        <w:t>本办法由</w:t>
      </w:r>
      <w:r>
        <w:rPr>
          <w:rFonts w:hint="eastAsia" w:ascii="仿宋_GB2312" w:hAnsi="ˎ̥" w:eastAsia="仿宋_GB2312" w:cs="宋体"/>
          <w:b w:val="0"/>
          <w:bCs w:val="0"/>
          <w:color w:val="000000"/>
          <w:kern w:val="0"/>
          <w:sz w:val="32"/>
          <w:szCs w:val="32"/>
          <w:lang w:val="en-US" w:eastAsia="zh-CN"/>
        </w:rPr>
        <w:t>县</w:t>
      </w:r>
      <w:r>
        <w:rPr>
          <w:rFonts w:hint="eastAsia" w:ascii="仿宋_GB2312" w:hAnsi="ˎ̥" w:eastAsia="仿宋_GB2312" w:cs="宋体"/>
          <w:b w:val="0"/>
          <w:bCs w:val="0"/>
          <w:color w:val="000000"/>
          <w:kern w:val="0"/>
          <w:sz w:val="32"/>
          <w:szCs w:val="32"/>
        </w:rPr>
        <w:t>财政局负责解释。</w:t>
      </w:r>
    </w:p>
    <w:p w14:paraId="37927DC3">
      <w:pPr>
        <w:spacing w:line="560" w:lineRule="exact"/>
        <w:ind w:firstLine="624" w:firstLineChars="200"/>
        <w:jc w:val="both"/>
        <w:rPr>
          <w:rFonts w:hint="eastAsia" w:ascii="仿宋_GB2312" w:hAnsi="ˎ̥" w:eastAsia="仿宋_GB2312" w:cs="宋体"/>
          <w:color w:val="000000"/>
          <w:kern w:val="0"/>
          <w:sz w:val="32"/>
          <w:szCs w:val="32"/>
        </w:rPr>
      </w:pPr>
      <w:r>
        <w:rPr>
          <w:rFonts w:hint="eastAsia" w:ascii="仿宋_GB2312" w:hAnsi="ˎ̥" w:eastAsia="仿宋_GB2312" w:cs="宋体"/>
          <w:b w:val="0"/>
          <w:bCs w:val="0"/>
          <w:color w:val="000000"/>
          <w:kern w:val="0"/>
          <w:sz w:val="32"/>
          <w:szCs w:val="32"/>
        </w:rPr>
        <w:t>十六</w:t>
      </w:r>
      <w:r>
        <w:rPr>
          <w:rFonts w:hint="default" w:ascii="仿宋_GB2312" w:hAnsi="ˎ̥" w:cs="宋体"/>
          <w:b w:val="0"/>
          <w:bCs w:val="0"/>
          <w:color w:val="000000"/>
          <w:kern w:val="0"/>
          <w:sz w:val="32"/>
          <w:szCs w:val="32"/>
          <w:woUserID w:val="1"/>
        </w:rPr>
        <w:t>、</w:t>
      </w:r>
      <w:r>
        <w:rPr>
          <w:rFonts w:hint="eastAsia" w:ascii="仿宋_GB2312" w:hAnsi="ˎ̥" w:eastAsia="仿宋_GB2312" w:cs="宋体"/>
          <w:color w:val="000000"/>
          <w:kern w:val="0"/>
          <w:sz w:val="32"/>
          <w:szCs w:val="32"/>
        </w:rPr>
        <w:t>本办法自</w:t>
      </w:r>
      <w:r>
        <w:rPr>
          <w:rFonts w:hint="default" w:ascii="仿宋_GB2312" w:hAnsi="ˎ̥" w:cs="宋体"/>
          <w:color w:val="000000"/>
          <w:kern w:val="0"/>
          <w:sz w:val="32"/>
          <w:szCs w:val="32"/>
          <w:woUserID w:val="1"/>
        </w:rPr>
        <w:t>2026年</w:t>
      </w:r>
      <w:r>
        <w:rPr>
          <w:rFonts w:hint="eastAsia" w:ascii="仿宋_GB2312" w:hAnsi="ˎ̥" w:cs="宋体"/>
          <w:color w:val="000000"/>
          <w:kern w:val="0"/>
          <w:sz w:val="32"/>
          <w:szCs w:val="32"/>
          <w:lang w:val="en-US" w:eastAsia="zh-CN"/>
          <w:woUserID w:val="1"/>
        </w:rPr>
        <w:t xml:space="preserve"> </w:t>
      </w:r>
      <w:r>
        <w:rPr>
          <w:rFonts w:hint="default" w:ascii="仿宋_GB2312" w:hAnsi="ˎ̥" w:cs="宋体"/>
          <w:color w:val="000000"/>
          <w:kern w:val="0"/>
          <w:sz w:val="32"/>
          <w:szCs w:val="32"/>
          <w:woUserID w:val="1"/>
        </w:rPr>
        <w:t>月</w:t>
      </w:r>
      <w:r>
        <w:rPr>
          <w:rFonts w:hint="eastAsia" w:ascii="仿宋_GB2312" w:hAnsi="ˎ̥" w:cs="宋体"/>
          <w:color w:val="000000"/>
          <w:kern w:val="0"/>
          <w:sz w:val="32"/>
          <w:szCs w:val="32"/>
          <w:lang w:val="en-US" w:eastAsia="zh-CN"/>
          <w:woUserID w:val="1"/>
        </w:rPr>
        <w:t xml:space="preserve"> </w:t>
      </w:r>
      <w:bookmarkStart w:id="0" w:name="_GoBack"/>
      <w:bookmarkEnd w:id="0"/>
      <w:r>
        <w:rPr>
          <w:rFonts w:hint="eastAsia" w:ascii="仿宋_GB2312" w:hAnsi="ˎ̥" w:eastAsia="仿宋_GB2312" w:cs="宋体"/>
          <w:color w:val="000000"/>
          <w:kern w:val="0"/>
          <w:sz w:val="32"/>
          <w:szCs w:val="32"/>
        </w:rPr>
        <w:t>日起执行。</w:t>
      </w:r>
    </w:p>
    <w:p w14:paraId="3D76D359">
      <w:pPr>
        <w:ind w:firstLine="624" w:firstLineChars="200"/>
        <w:jc w:val="both"/>
        <w:rPr>
          <w:rFonts w:hint="eastAsia" w:ascii="仿宋_GB2312" w:hAnsi="ˎ̥" w:eastAsia="仿宋_GB2312" w:cs="宋体"/>
          <w:color w:val="000000"/>
          <w:kern w:val="0"/>
          <w:sz w:val="32"/>
          <w:szCs w:val="32"/>
        </w:rPr>
      </w:pPr>
    </w:p>
    <w:p w14:paraId="7DECBA72">
      <w:pPr>
        <w:ind w:firstLine="624" w:firstLineChars="200"/>
        <w:jc w:val="both"/>
        <w:rPr>
          <w:rFonts w:hint="eastAsia" w:ascii="仿宋_GB2312" w:eastAsia="仿宋_GB2312"/>
          <w:bCs/>
          <w:sz w:val="32"/>
          <w:szCs w:val="32"/>
        </w:rPr>
      </w:pPr>
      <w:r>
        <w:rPr>
          <w:rFonts w:hint="eastAsia" w:ascii="仿宋_GB2312" w:hAnsi="ˎ̥" w:eastAsia="仿宋_GB2312" w:cs="宋体"/>
          <w:color w:val="000000"/>
          <w:kern w:val="0"/>
          <w:sz w:val="32"/>
          <w:szCs w:val="32"/>
        </w:rPr>
        <w:t>附件：</w:t>
      </w:r>
      <w:r>
        <w:rPr>
          <w:rFonts w:hint="default" w:ascii="Times New Roman" w:hAnsi="Times New Roman" w:eastAsia="仿宋_GB2312" w:cs="Times New Roman"/>
          <w:color w:val="000000"/>
          <w:kern w:val="0"/>
          <w:sz w:val="32"/>
          <w:szCs w:val="32"/>
        </w:rPr>
        <w:t>1</w:t>
      </w:r>
      <w:r>
        <w:rPr>
          <w:rFonts w:hint="eastAsia" w:ascii="仿宋_GB2312" w:hAnsi="ˎ̥" w:eastAsia="仿宋_GB2312" w:cs="宋体"/>
          <w:color w:val="000000"/>
          <w:kern w:val="0"/>
          <w:sz w:val="32"/>
          <w:szCs w:val="32"/>
        </w:rPr>
        <w:t>.</w:t>
      </w:r>
      <w:r>
        <w:rPr>
          <w:rFonts w:hint="eastAsia" w:ascii="仿宋_GB2312" w:eastAsia="仿宋_GB2312"/>
          <w:bCs/>
          <w:sz w:val="32"/>
          <w:szCs w:val="32"/>
          <w:lang w:val="en-US" w:eastAsia="zh-CN"/>
        </w:rPr>
        <w:t>磐安县</w:t>
      </w:r>
      <w:r>
        <w:rPr>
          <w:rFonts w:hint="eastAsia" w:ascii="仿宋_GB2312" w:eastAsia="仿宋_GB2312"/>
          <w:bCs/>
          <w:sz w:val="32"/>
          <w:szCs w:val="32"/>
        </w:rPr>
        <w:t>财政公物仓资产移交清单</w:t>
      </w:r>
    </w:p>
    <w:p w14:paraId="661BBD11">
      <w:pPr>
        <w:ind w:firstLine="624" w:firstLineChars="200"/>
        <w:jc w:val="both"/>
        <w:rPr>
          <w:rFonts w:hint="eastAsia" w:ascii="仿宋_GB2312" w:eastAsia="仿宋_GB2312"/>
          <w:bCs/>
          <w:color w:val="auto"/>
          <w:sz w:val="32"/>
          <w:szCs w:val="32"/>
        </w:rPr>
      </w:pPr>
      <w:r>
        <w:rPr>
          <w:rFonts w:hint="eastAsia" w:ascii="仿宋_GB2312" w:hAnsi="ˎ̥" w:eastAsia="仿宋_GB2312" w:cs="宋体"/>
          <w:color w:val="000000"/>
          <w:kern w:val="0"/>
          <w:sz w:val="32"/>
          <w:szCs w:val="32"/>
        </w:rPr>
        <w:t xml:space="preserve">    </w:t>
      </w:r>
      <w:r>
        <w:rPr>
          <w:rFonts w:hint="eastAsia" w:ascii="仿宋_GB2312" w:hAnsi="ˎ̥" w:eastAsia="仿宋_GB2312" w:cs="宋体"/>
          <w:color w:val="auto"/>
          <w:kern w:val="0"/>
          <w:sz w:val="32"/>
          <w:szCs w:val="32"/>
        </w:rPr>
        <w:t xml:space="preserve"> </w:t>
      </w:r>
      <w:r>
        <w:rPr>
          <w:rFonts w:hint="default" w:ascii="Times New Roman" w:hAnsi="Times New Roman" w:eastAsia="仿宋_GB2312" w:cs="Times New Roman"/>
          <w:color w:val="000000"/>
          <w:kern w:val="0"/>
          <w:sz w:val="32"/>
          <w:szCs w:val="32"/>
        </w:rPr>
        <w:t xml:space="preserve"> 2</w:t>
      </w:r>
      <w:r>
        <w:rPr>
          <w:rFonts w:hint="eastAsia" w:ascii="仿宋_GB2312" w:hAnsi="ˎ̥" w:eastAsia="仿宋_GB2312" w:cs="宋体"/>
          <w:color w:val="auto"/>
          <w:kern w:val="0"/>
          <w:sz w:val="32"/>
          <w:szCs w:val="32"/>
        </w:rPr>
        <w:t>.</w:t>
      </w:r>
      <w:r>
        <w:rPr>
          <w:rFonts w:hint="eastAsia" w:ascii="仿宋_GB2312" w:eastAsia="仿宋_GB2312"/>
          <w:bCs/>
          <w:color w:val="auto"/>
          <w:sz w:val="32"/>
          <w:szCs w:val="32"/>
          <w:lang w:val="en-US" w:eastAsia="zh-CN"/>
        </w:rPr>
        <w:t>磐安县</w:t>
      </w:r>
      <w:r>
        <w:rPr>
          <w:rFonts w:hint="eastAsia" w:ascii="仿宋_GB2312" w:eastAsia="仿宋_GB2312"/>
          <w:bCs/>
          <w:color w:val="auto"/>
          <w:sz w:val="32"/>
          <w:szCs w:val="32"/>
        </w:rPr>
        <w:t>财政公物仓资产调配（拨）通知书</w:t>
      </w:r>
    </w:p>
    <w:p w14:paraId="4F56F799">
      <w:pPr>
        <w:ind w:firstLine="1554" w:firstLineChars="498"/>
        <w:rPr>
          <w:rFonts w:hint="eastAsia" w:ascii="仿宋_GB2312" w:eastAsia="仿宋_GB2312"/>
          <w:bCs/>
          <w:sz w:val="32"/>
          <w:szCs w:val="32"/>
        </w:rPr>
      </w:pPr>
      <w:r>
        <w:rPr>
          <w:rFonts w:hint="default" w:ascii="Times New Roman" w:hAnsi="Times New Roman" w:eastAsia="仿宋_GB2312" w:cs="Times New Roman"/>
          <w:color w:val="000000"/>
          <w:kern w:val="0"/>
          <w:sz w:val="32"/>
          <w:szCs w:val="32"/>
        </w:rPr>
        <w:t>3</w:t>
      </w:r>
      <w:r>
        <w:rPr>
          <w:rFonts w:hint="eastAsia" w:ascii="仿宋_GB2312" w:hAnsi="ˎ̥" w:eastAsia="仿宋_GB2312" w:cs="宋体"/>
          <w:color w:val="000000"/>
          <w:kern w:val="0"/>
          <w:sz w:val="32"/>
          <w:szCs w:val="32"/>
        </w:rPr>
        <w:t>.</w:t>
      </w:r>
      <w:r>
        <w:rPr>
          <w:rFonts w:hint="default" w:ascii="Times New Roman" w:eastAsia="仿宋_GB2312" w:cs="Times New Roman"/>
          <w:bCs w:val="0"/>
          <w:color w:val="000000"/>
          <w:kern w:val="0"/>
          <w:sz w:val="32"/>
          <w:szCs w:val="32"/>
          <w:lang w:val="en-US" w:eastAsia="zh-CN"/>
        </w:rPr>
        <w:t>磐安县</w:t>
      </w:r>
      <w:r>
        <w:rPr>
          <w:rFonts w:hint="eastAsia" w:ascii="仿宋_GB2312" w:eastAsia="仿宋_GB2312"/>
          <w:bCs/>
          <w:sz w:val="32"/>
          <w:szCs w:val="32"/>
        </w:rPr>
        <w:t>财政公物仓资产借用登记表</w:t>
      </w:r>
    </w:p>
    <w:p w14:paraId="1DABCB7A">
      <w:pPr>
        <w:rPr>
          <w:rFonts w:hint="eastAsia" w:ascii="黑体" w:eastAsia="黑体"/>
          <w:bCs/>
          <w:sz w:val="32"/>
          <w:szCs w:val="32"/>
        </w:rPr>
      </w:pPr>
    </w:p>
    <w:p w14:paraId="35F873A1">
      <w:pPr>
        <w:rPr>
          <w:rFonts w:hint="eastAsia" w:ascii="黑体" w:eastAsia="黑体"/>
          <w:bCs/>
          <w:sz w:val="32"/>
          <w:szCs w:val="32"/>
        </w:rPr>
      </w:pPr>
    </w:p>
    <w:p w14:paraId="4D254E11">
      <w:pPr>
        <w:rPr>
          <w:rFonts w:hint="eastAsia" w:ascii="黑体" w:eastAsia="黑体"/>
          <w:bCs/>
          <w:sz w:val="32"/>
          <w:szCs w:val="32"/>
        </w:rPr>
      </w:pPr>
    </w:p>
    <w:p w14:paraId="778AB422">
      <w:pPr>
        <w:rPr>
          <w:rFonts w:hint="eastAsia" w:ascii="黑体" w:eastAsia="黑体"/>
          <w:bCs/>
          <w:sz w:val="32"/>
          <w:szCs w:val="32"/>
        </w:rPr>
      </w:pPr>
    </w:p>
    <w:p w14:paraId="548E6DD0">
      <w:pPr>
        <w:rPr>
          <w:rFonts w:hint="eastAsia" w:ascii="黑体" w:eastAsia="黑体"/>
          <w:bCs/>
          <w:sz w:val="32"/>
          <w:szCs w:val="32"/>
        </w:rPr>
      </w:pPr>
    </w:p>
    <w:p w14:paraId="74FCEE9D">
      <w:pPr>
        <w:rPr>
          <w:rFonts w:hint="eastAsia" w:ascii="黑体" w:eastAsia="黑体"/>
          <w:bCs/>
          <w:sz w:val="32"/>
          <w:szCs w:val="32"/>
        </w:rPr>
      </w:pPr>
    </w:p>
    <w:p w14:paraId="4CEEFDE3">
      <w:pPr>
        <w:rPr>
          <w:rFonts w:hint="eastAsia" w:ascii="黑体" w:eastAsia="黑体"/>
          <w:bCs/>
          <w:sz w:val="32"/>
          <w:szCs w:val="32"/>
        </w:rPr>
      </w:pPr>
    </w:p>
    <w:p w14:paraId="65DC266D">
      <w:pPr>
        <w:rPr>
          <w:rFonts w:hint="eastAsia" w:ascii="黑体" w:eastAsia="黑体"/>
          <w:bCs/>
          <w:sz w:val="32"/>
          <w:szCs w:val="32"/>
        </w:rPr>
      </w:pPr>
    </w:p>
    <w:p w14:paraId="05D3E617">
      <w:pPr>
        <w:rPr>
          <w:rFonts w:hint="eastAsia" w:ascii="黑体" w:eastAsia="黑体"/>
          <w:bCs/>
          <w:color w:val="000000"/>
          <w:sz w:val="32"/>
          <w:szCs w:val="32"/>
        </w:rPr>
        <w:sectPr>
          <w:headerReference r:id="rId3" w:type="default"/>
          <w:footerReference r:id="rId4" w:type="default"/>
          <w:type w:val="continuous"/>
          <w:pgSz w:w="11906" w:h="16838"/>
          <w:pgMar w:top="2098" w:right="1474" w:bottom="1985" w:left="1588" w:header="0" w:footer="1588" w:gutter="0"/>
          <w:cols w:space="720" w:num="1"/>
          <w:docGrid w:type="linesAndChars" w:linePitch="602" w:charSpace="-1675"/>
        </w:sectPr>
      </w:pPr>
    </w:p>
    <w:p w14:paraId="5496EA36">
      <w:pPr>
        <w:rPr>
          <w:rFonts w:hint="eastAsia" w:ascii="黑体" w:eastAsia="黑体"/>
          <w:bCs/>
          <w:color w:val="000000"/>
          <w:sz w:val="32"/>
          <w:szCs w:val="32"/>
        </w:rPr>
      </w:pPr>
      <w:r>
        <w:rPr>
          <w:rFonts w:hint="eastAsia" w:ascii="黑体" w:eastAsia="黑体"/>
          <w:bCs/>
          <w:color w:val="000000"/>
          <w:sz w:val="32"/>
          <w:szCs w:val="32"/>
        </w:rPr>
        <w:t>附件1</w:t>
      </w:r>
    </w:p>
    <w:p w14:paraId="6C3A72A4">
      <w:pPr>
        <w:jc w:val="center"/>
        <w:rPr>
          <w:rFonts w:hint="eastAsia" w:ascii="方正小标宋简体" w:hAnsi="华文中宋" w:eastAsia="方正小标宋简体"/>
          <w:bCs/>
          <w:color w:val="000000"/>
          <w:sz w:val="44"/>
        </w:rPr>
      </w:pPr>
      <w:r>
        <w:rPr>
          <w:rFonts w:hint="eastAsia" w:ascii="方正小标宋简体" w:hAnsi="华文中宋" w:eastAsia="方正小标宋简体"/>
          <w:bCs/>
          <w:color w:val="000000"/>
          <w:sz w:val="44"/>
          <w:lang w:val="en-US" w:eastAsia="zh-CN"/>
        </w:rPr>
        <w:t>磐安县</w:t>
      </w:r>
      <w:r>
        <w:rPr>
          <w:rFonts w:hint="eastAsia" w:ascii="方正小标宋简体" w:hAnsi="华文中宋" w:eastAsia="方正小标宋简体"/>
          <w:bCs/>
          <w:color w:val="000000"/>
          <w:sz w:val="44"/>
        </w:rPr>
        <w:t>财政公物仓资产移交清单</w:t>
      </w:r>
    </w:p>
    <w:p w14:paraId="73D0D6AE">
      <w:pPr>
        <w:spacing w:line="400" w:lineRule="exact"/>
        <w:ind w:firstLine="7680" w:firstLineChars="3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编号：</w:t>
      </w:r>
    </w:p>
    <w:p w14:paraId="59E91E1A">
      <w:pPr>
        <w:spacing w:line="400" w:lineRule="exact"/>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移交单位：                                         移交日期：</w:t>
      </w:r>
    </w:p>
    <w:tbl>
      <w:tblPr>
        <w:tblStyle w:val="7"/>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363"/>
        <w:gridCol w:w="778"/>
        <w:gridCol w:w="973"/>
        <w:gridCol w:w="883"/>
        <w:gridCol w:w="778"/>
        <w:gridCol w:w="778"/>
        <w:gridCol w:w="973"/>
        <w:gridCol w:w="973"/>
        <w:gridCol w:w="778"/>
      </w:tblGrid>
      <w:tr w14:paraId="0584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64D4D42B">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序号</w:t>
            </w:r>
          </w:p>
        </w:tc>
        <w:tc>
          <w:tcPr>
            <w:tcW w:w="1363" w:type="dxa"/>
            <w:noWrap w:val="0"/>
            <w:vAlign w:val="center"/>
          </w:tcPr>
          <w:p w14:paraId="1854365C">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资产名称</w:t>
            </w:r>
          </w:p>
        </w:tc>
        <w:tc>
          <w:tcPr>
            <w:tcW w:w="778" w:type="dxa"/>
            <w:noWrap w:val="0"/>
            <w:vAlign w:val="center"/>
          </w:tcPr>
          <w:p w14:paraId="277E801F">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资产类别</w:t>
            </w:r>
          </w:p>
        </w:tc>
        <w:tc>
          <w:tcPr>
            <w:tcW w:w="973" w:type="dxa"/>
            <w:noWrap w:val="0"/>
            <w:vAlign w:val="center"/>
          </w:tcPr>
          <w:p w14:paraId="3BE1E813">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规格</w:t>
            </w:r>
          </w:p>
          <w:p w14:paraId="3079FAC6">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型号</w:t>
            </w:r>
          </w:p>
        </w:tc>
        <w:tc>
          <w:tcPr>
            <w:tcW w:w="883" w:type="dxa"/>
            <w:noWrap w:val="0"/>
            <w:vAlign w:val="center"/>
          </w:tcPr>
          <w:p w14:paraId="0933157C">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购置</w:t>
            </w:r>
          </w:p>
          <w:p w14:paraId="0C4C0FF5">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日期</w:t>
            </w:r>
          </w:p>
        </w:tc>
        <w:tc>
          <w:tcPr>
            <w:tcW w:w="778" w:type="dxa"/>
            <w:noWrap w:val="0"/>
            <w:vAlign w:val="center"/>
          </w:tcPr>
          <w:p w14:paraId="3AA2FC2B">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单位</w:t>
            </w:r>
          </w:p>
        </w:tc>
        <w:tc>
          <w:tcPr>
            <w:tcW w:w="778" w:type="dxa"/>
            <w:noWrap w:val="0"/>
            <w:vAlign w:val="center"/>
          </w:tcPr>
          <w:p w14:paraId="10E37A6D">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w:t>
            </w:r>
          </w:p>
        </w:tc>
        <w:tc>
          <w:tcPr>
            <w:tcW w:w="973" w:type="dxa"/>
            <w:noWrap w:val="0"/>
            <w:vAlign w:val="center"/>
          </w:tcPr>
          <w:p w14:paraId="7DD50884">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原值（元）</w:t>
            </w:r>
          </w:p>
        </w:tc>
        <w:tc>
          <w:tcPr>
            <w:tcW w:w="973" w:type="dxa"/>
            <w:noWrap w:val="0"/>
            <w:vAlign w:val="center"/>
          </w:tcPr>
          <w:p w14:paraId="7564C498">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移交</w:t>
            </w:r>
          </w:p>
          <w:p w14:paraId="5B188AA2">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类型</w:t>
            </w:r>
          </w:p>
        </w:tc>
        <w:tc>
          <w:tcPr>
            <w:tcW w:w="778" w:type="dxa"/>
            <w:noWrap w:val="0"/>
            <w:vAlign w:val="center"/>
          </w:tcPr>
          <w:p w14:paraId="2914C135">
            <w:pPr>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备注</w:t>
            </w:r>
          </w:p>
        </w:tc>
      </w:tr>
      <w:tr w14:paraId="42DA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0A979D1D">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68850DCD">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03267E32">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44C8846F">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4103BD11">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046E03E2">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0BB5829B">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74DDA88B">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7316E8E4">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7CFD51BE">
            <w:pPr>
              <w:spacing w:line="400" w:lineRule="exact"/>
              <w:jc w:val="center"/>
              <w:rPr>
                <w:rFonts w:hint="eastAsia" w:ascii="仿宋_GB2312" w:hAnsi="仿宋_GB2312" w:eastAsia="仿宋_GB2312" w:cs="仿宋_GB2312"/>
                <w:color w:val="000000"/>
                <w:sz w:val="24"/>
              </w:rPr>
            </w:pPr>
          </w:p>
        </w:tc>
      </w:tr>
      <w:tr w14:paraId="4FAD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5F52CB4A">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6FFD7B92">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CF89103">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46B4DF79">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672D5375">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A582908">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1D45E0B9">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7A72E394">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1E5C3197">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0AA6C446">
            <w:pPr>
              <w:spacing w:line="400" w:lineRule="exact"/>
              <w:jc w:val="center"/>
              <w:rPr>
                <w:rFonts w:hint="eastAsia" w:ascii="仿宋_GB2312" w:hAnsi="仿宋_GB2312" w:eastAsia="仿宋_GB2312" w:cs="仿宋_GB2312"/>
                <w:color w:val="000000"/>
                <w:sz w:val="24"/>
              </w:rPr>
            </w:pPr>
          </w:p>
        </w:tc>
      </w:tr>
      <w:tr w14:paraId="02EF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2E8966EE">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58385A45">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1849D501">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2B9055AD">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6A6E60F2">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6B7C0F14">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70DF9D3F">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64646D4B">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5ECACF2E">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F675854">
            <w:pPr>
              <w:spacing w:line="400" w:lineRule="exact"/>
              <w:jc w:val="center"/>
              <w:rPr>
                <w:rFonts w:hint="eastAsia" w:ascii="仿宋_GB2312" w:hAnsi="仿宋_GB2312" w:eastAsia="仿宋_GB2312" w:cs="仿宋_GB2312"/>
                <w:color w:val="000000"/>
                <w:sz w:val="24"/>
              </w:rPr>
            </w:pPr>
          </w:p>
        </w:tc>
      </w:tr>
      <w:tr w14:paraId="0067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503CE7ED">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7D20C8BD">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5E299DDE">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6A238A1D">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6828E8B9">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0C1C59C9">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17129E12">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02ED48EA">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23228E6B">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29A30B18">
            <w:pPr>
              <w:spacing w:line="400" w:lineRule="exact"/>
              <w:jc w:val="center"/>
              <w:rPr>
                <w:rFonts w:hint="eastAsia" w:ascii="仿宋_GB2312" w:hAnsi="仿宋_GB2312" w:eastAsia="仿宋_GB2312" w:cs="仿宋_GB2312"/>
                <w:color w:val="000000"/>
                <w:sz w:val="24"/>
              </w:rPr>
            </w:pPr>
          </w:p>
        </w:tc>
      </w:tr>
      <w:tr w14:paraId="3AD5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757F776A">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26D1C51F">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6848AFDA">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57C17B72">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1206D2D9">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717ECF2F">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438AA16E">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3DBD2624">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0A4F6E26">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230FD3DD">
            <w:pPr>
              <w:spacing w:line="400" w:lineRule="exact"/>
              <w:jc w:val="center"/>
              <w:rPr>
                <w:rFonts w:hint="eastAsia" w:ascii="仿宋_GB2312" w:hAnsi="仿宋_GB2312" w:eastAsia="仿宋_GB2312" w:cs="仿宋_GB2312"/>
                <w:color w:val="000000"/>
                <w:sz w:val="24"/>
              </w:rPr>
            </w:pPr>
          </w:p>
        </w:tc>
      </w:tr>
      <w:tr w14:paraId="4ABD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129D7E55">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4CE151C1">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6E8397EC">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28F1517F">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0F270C39">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7919B20">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73281F27">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2188CF9C">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32E40BA0">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25A887F4">
            <w:pPr>
              <w:spacing w:line="400" w:lineRule="exact"/>
              <w:jc w:val="center"/>
              <w:rPr>
                <w:rFonts w:hint="eastAsia" w:ascii="仿宋_GB2312" w:hAnsi="仿宋_GB2312" w:eastAsia="仿宋_GB2312" w:cs="仿宋_GB2312"/>
                <w:color w:val="000000"/>
                <w:sz w:val="24"/>
              </w:rPr>
            </w:pPr>
          </w:p>
        </w:tc>
      </w:tr>
      <w:tr w14:paraId="4080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08C323AA">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36A13622">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508BED13">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5A763613">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387C1C89">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1F1E144C">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56527D5">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432724A3">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7884CDC0">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5EA20FF7">
            <w:pPr>
              <w:spacing w:line="400" w:lineRule="exact"/>
              <w:jc w:val="center"/>
              <w:rPr>
                <w:rFonts w:hint="eastAsia" w:ascii="仿宋_GB2312" w:hAnsi="仿宋_GB2312" w:eastAsia="仿宋_GB2312" w:cs="仿宋_GB2312"/>
                <w:color w:val="000000"/>
                <w:sz w:val="24"/>
              </w:rPr>
            </w:pPr>
          </w:p>
        </w:tc>
      </w:tr>
      <w:tr w14:paraId="6A1E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7B6B43AE">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1394CBA1">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703A1845">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6CAA248B">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5FF99B31">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3098CCD5">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4A78BA52">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1B7B926F">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754A47A4">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2B03A420">
            <w:pPr>
              <w:spacing w:line="400" w:lineRule="exact"/>
              <w:jc w:val="center"/>
              <w:rPr>
                <w:rFonts w:hint="eastAsia" w:ascii="仿宋_GB2312" w:hAnsi="仿宋_GB2312" w:eastAsia="仿宋_GB2312" w:cs="仿宋_GB2312"/>
                <w:color w:val="000000"/>
                <w:sz w:val="24"/>
              </w:rPr>
            </w:pPr>
          </w:p>
        </w:tc>
      </w:tr>
      <w:tr w14:paraId="2816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77" w:type="dxa"/>
            <w:noWrap w:val="0"/>
            <w:vAlign w:val="center"/>
          </w:tcPr>
          <w:p w14:paraId="09B737E4">
            <w:pPr>
              <w:spacing w:line="400" w:lineRule="exact"/>
              <w:jc w:val="center"/>
              <w:rPr>
                <w:rFonts w:hint="eastAsia" w:ascii="仿宋_GB2312" w:hAnsi="仿宋_GB2312" w:eastAsia="仿宋_GB2312" w:cs="仿宋_GB2312"/>
                <w:color w:val="000000"/>
                <w:sz w:val="24"/>
              </w:rPr>
            </w:pPr>
          </w:p>
        </w:tc>
        <w:tc>
          <w:tcPr>
            <w:tcW w:w="1363" w:type="dxa"/>
            <w:noWrap w:val="0"/>
            <w:vAlign w:val="center"/>
          </w:tcPr>
          <w:p w14:paraId="4E9A1D4E">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40C41553">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6D308FD5">
            <w:pPr>
              <w:spacing w:line="400" w:lineRule="exact"/>
              <w:jc w:val="center"/>
              <w:rPr>
                <w:rFonts w:hint="eastAsia" w:ascii="仿宋_GB2312" w:hAnsi="仿宋_GB2312" w:eastAsia="仿宋_GB2312" w:cs="仿宋_GB2312"/>
                <w:color w:val="000000"/>
                <w:sz w:val="24"/>
              </w:rPr>
            </w:pPr>
          </w:p>
        </w:tc>
        <w:tc>
          <w:tcPr>
            <w:tcW w:w="883" w:type="dxa"/>
            <w:noWrap w:val="0"/>
            <w:vAlign w:val="center"/>
          </w:tcPr>
          <w:p w14:paraId="643371C2">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4B9BA094">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6111472A">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4AE55632">
            <w:pPr>
              <w:spacing w:line="400" w:lineRule="exact"/>
              <w:jc w:val="center"/>
              <w:rPr>
                <w:rFonts w:hint="eastAsia" w:ascii="仿宋_GB2312" w:hAnsi="仿宋_GB2312" w:eastAsia="仿宋_GB2312" w:cs="仿宋_GB2312"/>
                <w:color w:val="000000"/>
                <w:sz w:val="24"/>
              </w:rPr>
            </w:pPr>
          </w:p>
        </w:tc>
        <w:tc>
          <w:tcPr>
            <w:tcW w:w="973" w:type="dxa"/>
            <w:noWrap w:val="0"/>
            <w:vAlign w:val="center"/>
          </w:tcPr>
          <w:p w14:paraId="49697737">
            <w:pPr>
              <w:spacing w:line="400" w:lineRule="exact"/>
              <w:jc w:val="center"/>
              <w:rPr>
                <w:rFonts w:hint="eastAsia" w:ascii="仿宋_GB2312" w:hAnsi="仿宋_GB2312" w:eastAsia="仿宋_GB2312" w:cs="仿宋_GB2312"/>
                <w:color w:val="000000"/>
                <w:sz w:val="24"/>
              </w:rPr>
            </w:pPr>
          </w:p>
        </w:tc>
        <w:tc>
          <w:tcPr>
            <w:tcW w:w="778" w:type="dxa"/>
            <w:noWrap w:val="0"/>
            <w:vAlign w:val="center"/>
          </w:tcPr>
          <w:p w14:paraId="15D06915">
            <w:pPr>
              <w:spacing w:line="400" w:lineRule="exact"/>
              <w:jc w:val="center"/>
              <w:rPr>
                <w:rFonts w:hint="eastAsia" w:ascii="仿宋_GB2312" w:hAnsi="仿宋_GB2312" w:eastAsia="仿宋_GB2312" w:cs="仿宋_GB2312"/>
                <w:color w:val="000000"/>
                <w:sz w:val="24"/>
              </w:rPr>
            </w:pPr>
          </w:p>
        </w:tc>
      </w:tr>
    </w:tbl>
    <w:p w14:paraId="77BDF9A2">
      <w:pPr>
        <w:spacing w:line="500" w:lineRule="exact"/>
        <w:ind w:firstLine="240" w:firstLineChars="100"/>
        <w:rPr>
          <w:rFonts w:hint="eastAsia" w:ascii="仿宋_GB2312" w:hAnsi="仿宋_GB2312" w:eastAsia="仿宋_GB2312" w:cs="仿宋_GB2312"/>
          <w:color w:val="000000"/>
          <w:sz w:val="24"/>
        </w:rPr>
      </w:pPr>
    </w:p>
    <w:p w14:paraId="1719E75B">
      <w:pPr>
        <w:spacing w:line="500" w:lineRule="exact"/>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移交单位负责人签字（盖章）                  </w:t>
      </w:r>
      <w:r>
        <w:rPr>
          <w:rFonts w:hint="eastAsia" w:ascii="仿宋_GB2312" w:hAnsi="仿宋_GB2312" w:eastAsia="仿宋_GB2312" w:cs="仿宋_GB2312"/>
          <w:color w:val="000000"/>
          <w:sz w:val="24"/>
          <w:lang w:val="en-US" w:eastAsia="zh-CN"/>
        </w:rPr>
        <w:t>磐安县</w:t>
      </w:r>
      <w:r>
        <w:rPr>
          <w:rFonts w:hint="eastAsia" w:ascii="仿宋_GB2312" w:hAnsi="仿宋_GB2312" w:eastAsia="仿宋_GB2312" w:cs="仿宋_GB2312"/>
          <w:color w:val="000000"/>
          <w:sz w:val="24"/>
        </w:rPr>
        <w:t>财政局 （盖章）</w:t>
      </w:r>
    </w:p>
    <w:p w14:paraId="66950B0B">
      <w:pPr>
        <w:spacing w:line="500" w:lineRule="exact"/>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移交人（签字）：                            公物仓经办人（签字）：</w:t>
      </w:r>
    </w:p>
    <w:p w14:paraId="756A0DE5">
      <w:pPr>
        <w:spacing w:line="50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备注：</w:t>
      </w:r>
      <w:r>
        <w:rPr>
          <w:rFonts w:hint="default" w:ascii="Times New Roman" w:hAnsi="Times New Roman" w:eastAsia="仿宋_GB2312" w:cs="Times New Roman"/>
          <w:color w:val="000000"/>
          <w:sz w:val="24"/>
        </w:rPr>
        <w:t>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本表一式</w:t>
      </w:r>
      <w:r>
        <w:rPr>
          <w:rFonts w:hint="default" w:ascii="Times New Roman" w:hAnsi="Times New Roman" w:eastAsia="仿宋_GB2312" w:cs="Times New Roman"/>
          <w:color w:val="000000"/>
          <w:sz w:val="24"/>
        </w:rPr>
        <w:t>4份，移交单位1份，公物仓1份，财政局2份；</w:t>
      </w:r>
    </w:p>
    <w:p w14:paraId="6AC23FE7">
      <w:pPr>
        <w:spacing w:line="500" w:lineRule="exact"/>
        <w:ind w:firstLine="720" w:firstLineChars="300"/>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sz w:val="24"/>
        </w:rPr>
        <w:t>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资产类别填列：办公设备类、电器类、办公家俱类、汽车类、机器设备类、其他；</w:t>
      </w:r>
    </w:p>
    <w:p w14:paraId="000D2866">
      <w:pPr>
        <w:spacing w:line="500" w:lineRule="exact"/>
        <w:ind w:firstLine="720" w:firstLineChars="300"/>
        <w:rPr>
          <w:rFonts w:hint="eastAsia" w:ascii="仿宋_GB2312" w:hAnsi="仿宋_GB2312" w:eastAsia="仿宋_GB2312" w:cs="仿宋_GB2312"/>
          <w:color w:val="000000"/>
          <w:sz w:val="24"/>
        </w:rPr>
      </w:pPr>
      <w:r>
        <w:rPr>
          <w:rFonts w:hint="default" w:ascii="Times New Roman" w:hAnsi="Times New Roman" w:eastAsia="仿宋_GB2312" w:cs="Times New Roman"/>
          <w:color w:val="000000"/>
          <w:sz w:val="24"/>
        </w:rPr>
        <w:t>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移交类型填列：闲置资产、报废资产、大型会议（活动）资产、撤并单位资产。</w:t>
      </w:r>
    </w:p>
    <w:p w14:paraId="2900BB1B">
      <w:pPr>
        <w:spacing w:line="560" w:lineRule="exact"/>
        <w:rPr>
          <w:rFonts w:hint="eastAsia" w:ascii="黑体" w:eastAsia="黑体"/>
          <w:bCs/>
          <w:color w:val="000000"/>
          <w:sz w:val="32"/>
          <w:szCs w:val="32"/>
        </w:rPr>
      </w:pPr>
    </w:p>
    <w:p w14:paraId="6CF97CD8">
      <w:pPr>
        <w:spacing w:line="560" w:lineRule="exact"/>
        <w:rPr>
          <w:rFonts w:hint="eastAsia" w:ascii="黑体" w:eastAsia="黑体"/>
          <w:bCs/>
          <w:color w:val="000000"/>
          <w:sz w:val="32"/>
          <w:szCs w:val="32"/>
        </w:rPr>
      </w:pPr>
    </w:p>
    <w:p w14:paraId="71CEC7C1">
      <w:pPr>
        <w:spacing w:line="560" w:lineRule="exact"/>
        <w:rPr>
          <w:rFonts w:hint="eastAsia" w:ascii="黑体" w:eastAsia="黑体"/>
          <w:bCs/>
          <w:color w:val="000000"/>
          <w:sz w:val="32"/>
          <w:szCs w:val="32"/>
        </w:rPr>
      </w:pPr>
    </w:p>
    <w:p w14:paraId="58254527">
      <w:pPr>
        <w:spacing w:line="560" w:lineRule="exact"/>
        <w:rPr>
          <w:rFonts w:hint="eastAsia" w:ascii="黑体" w:eastAsia="黑体"/>
          <w:bCs/>
          <w:sz w:val="32"/>
          <w:szCs w:val="32"/>
          <w:lang w:eastAsia="zh-CN"/>
        </w:rPr>
      </w:pPr>
      <w:r>
        <w:rPr>
          <w:rFonts w:hint="eastAsia" w:ascii="黑体" w:eastAsia="黑体"/>
          <w:bCs/>
          <w:sz w:val="32"/>
          <w:szCs w:val="32"/>
        </w:rPr>
        <w:t>附件2</w:t>
      </w:r>
    </w:p>
    <w:p w14:paraId="268B8E11">
      <w:pPr>
        <w:tabs>
          <w:tab w:val="left" w:pos="7560"/>
        </w:tabs>
        <w:spacing w:line="560" w:lineRule="exact"/>
        <w:jc w:val="center"/>
        <w:rPr>
          <w:rFonts w:hint="eastAsia" w:ascii="方正小标宋简体" w:eastAsia="方正小标宋简体"/>
          <w:bCs/>
          <w:color w:val="auto"/>
          <w:sz w:val="44"/>
        </w:rPr>
      </w:pPr>
      <w:r>
        <w:rPr>
          <w:rFonts w:hint="eastAsia" w:ascii="方正小标宋简体" w:eastAsia="方正小标宋简体"/>
          <w:bCs/>
          <w:color w:val="auto"/>
          <w:sz w:val="44"/>
          <w:lang w:val="en-US" w:eastAsia="zh-CN"/>
        </w:rPr>
        <w:t>磐安县</w:t>
      </w:r>
      <w:r>
        <w:rPr>
          <w:rFonts w:hint="eastAsia" w:ascii="方正小标宋简体" w:eastAsia="方正小标宋简体"/>
          <w:bCs/>
          <w:color w:val="auto"/>
          <w:sz w:val="44"/>
        </w:rPr>
        <w:t>财政公物仓资产调配（拨）通知书</w:t>
      </w:r>
    </w:p>
    <w:p w14:paraId="30922AD3">
      <w:pPr>
        <w:pStyle w:val="2"/>
        <w:spacing w:line="500" w:lineRule="exact"/>
        <w:ind w:left="0" w:leftChars="0" w:firstLine="0" w:firstLineChars="0"/>
        <w:rPr>
          <w:rFonts w:hint="default" w:eastAsia="仿宋_GB2312"/>
          <w:sz w:val="30"/>
          <w:szCs w:val="30"/>
          <w:u w:val="none"/>
          <w:lang w:val="en-US" w:eastAsia="zh-CN"/>
        </w:rPr>
      </w:pPr>
      <w:r>
        <w:rPr>
          <w:rFonts w:hint="eastAsia"/>
          <w:sz w:val="30"/>
          <w:szCs w:val="30"/>
          <w:u w:val="single"/>
          <w:lang w:eastAsia="zh-CN"/>
        </w:rPr>
        <w:t>公物仓（磐安县国有资产经营有限公司）</w:t>
      </w:r>
      <w:r>
        <w:rPr>
          <w:rFonts w:hint="eastAsia"/>
          <w:sz w:val="30"/>
          <w:szCs w:val="30"/>
          <w:u w:val="none"/>
          <w:lang w:val="en-US" w:eastAsia="zh-CN"/>
        </w:rPr>
        <w:t>：</w:t>
      </w:r>
    </w:p>
    <w:p w14:paraId="38F99DFC">
      <w:pPr>
        <w:pStyle w:val="2"/>
        <w:spacing w:line="500" w:lineRule="exact"/>
        <w:rPr>
          <w:rFonts w:hint="eastAsia"/>
          <w:sz w:val="30"/>
          <w:szCs w:val="30"/>
        </w:rPr>
      </w:pPr>
      <w:r>
        <w:rPr>
          <w:rFonts w:hint="eastAsia"/>
          <w:sz w:val="30"/>
          <w:szCs w:val="30"/>
        </w:rPr>
        <w:t>经研究，同意将下列资产调拨至</w:t>
      </w:r>
      <w:r>
        <w:rPr>
          <w:rFonts w:hint="eastAsia"/>
          <w:sz w:val="30"/>
          <w:szCs w:val="30"/>
          <w:lang w:eastAsia="zh-CN"/>
        </w:rPr>
        <w:t>（</w:t>
      </w:r>
      <w:r>
        <w:rPr>
          <w:rFonts w:hint="eastAsia"/>
          <w:sz w:val="30"/>
          <w:szCs w:val="30"/>
        </w:rPr>
        <w:t>单位</w:t>
      </w:r>
      <w:r>
        <w:rPr>
          <w:rFonts w:hint="eastAsia"/>
          <w:sz w:val="30"/>
          <w:szCs w:val="30"/>
          <w:u w:val="none"/>
          <w:lang w:eastAsia="zh-CN"/>
        </w:rPr>
        <w:t>名称</w:t>
      </w:r>
      <w:r>
        <w:rPr>
          <w:rFonts w:hint="eastAsia"/>
          <w:sz w:val="30"/>
          <w:szCs w:val="30"/>
          <w:lang w:eastAsia="zh-CN"/>
        </w:rPr>
        <w:t>）</w:t>
      </w:r>
      <w:r>
        <w:rPr>
          <w:rFonts w:hint="default"/>
          <w:sz w:val="30"/>
          <w:szCs w:val="30"/>
          <w:u w:val="single"/>
          <w:lang w:eastAsia="zh-CN"/>
        </w:rPr>
        <w:t xml:space="preserve">                  </w:t>
      </w:r>
      <w:r>
        <w:rPr>
          <w:rFonts w:hint="eastAsia"/>
          <w:sz w:val="30"/>
          <w:szCs w:val="30"/>
        </w:rPr>
        <w:t>使用，</w:t>
      </w:r>
      <w:r>
        <w:rPr>
          <w:rFonts w:hint="eastAsia"/>
          <w:sz w:val="30"/>
          <w:szCs w:val="30"/>
          <w:lang w:eastAsia="zh-CN"/>
        </w:rPr>
        <w:t>请单位对</w:t>
      </w:r>
      <w:r>
        <w:rPr>
          <w:rFonts w:hint="eastAsia"/>
          <w:sz w:val="30"/>
          <w:szCs w:val="30"/>
        </w:rPr>
        <w:t>调拨资产及时办理固定资产调拨手续，并做好相应的资产和财务账目处理。</w:t>
      </w:r>
    </w:p>
    <w:tbl>
      <w:tblPr>
        <w:tblStyle w:val="7"/>
        <w:tblW w:w="9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2126"/>
        <w:gridCol w:w="1350"/>
        <w:gridCol w:w="777"/>
        <w:gridCol w:w="1701"/>
        <w:gridCol w:w="2289"/>
      </w:tblGrid>
      <w:tr w14:paraId="5411A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75EE5380">
            <w:pPr>
              <w:jc w:val="center"/>
              <w:rPr>
                <w:rFonts w:hint="eastAsia" w:ascii="仿宋_GB2312" w:hAnsi="宋体" w:eastAsia="仿宋_GB2312"/>
                <w:sz w:val="24"/>
              </w:rPr>
            </w:pPr>
            <w:r>
              <w:rPr>
                <w:rFonts w:hint="eastAsia" w:ascii="仿宋_GB2312" w:hAnsi="宋体" w:eastAsia="仿宋_GB2312"/>
                <w:sz w:val="24"/>
              </w:rPr>
              <w:t>序号</w:t>
            </w:r>
          </w:p>
        </w:tc>
        <w:tc>
          <w:tcPr>
            <w:tcW w:w="2126" w:type="dxa"/>
            <w:noWrap w:val="0"/>
            <w:vAlign w:val="center"/>
          </w:tcPr>
          <w:p w14:paraId="0B67B64C">
            <w:pPr>
              <w:jc w:val="center"/>
              <w:rPr>
                <w:rFonts w:hint="eastAsia" w:ascii="仿宋_GB2312" w:hAnsi="宋体" w:eastAsia="仿宋_GB2312"/>
                <w:sz w:val="24"/>
              </w:rPr>
            </w:pPr>
            <w:r>
              <w:rPr>
                <w:rFonts w:hint="eastAsia" w:ascii="仿宋_GB2312" w:hAnsi="宋体" w:eastAsia="仿宋_GB2312"/>
                <w:sz w:val="24"/>
              </w:rPr>
              <w:t>资产名称</w:t>
            </w:r>
          </w:p>
        </w:tc>
        <w:tc>
          <w:tcPr>
            <w:tcW w:w="1350" w:type="dxa"/>
            <w:noWrap w:val="0"/>
            <w:vAlign w:val="center"/>
          </w:tcPr>
          <w:p w14:paraId="0DFD4EA8">
            <w:pPr>
              <w:jc w:val="center"/>
              <w:rPr>
                <w:rFonts w:hint="eastAsia" w:ascii="仿宋_GB2312" w:hAnsi="宋体" w:eastAsia="仿宋_GB2312"/>
                <w:sz w:val="24"/>
              </w:rPr>
            </w:pPr>
            <w:r>
              <w:rPr>
                <w:rFonts w:hint="eastAsia" w:ascii="仿宋_GB2312" w:hAnsi="宋体" w:eastAsia="仿宋_GB2312"/>
                <w:sz w:val="24"/>
              </w:rPr>
              <w:t>计量单位</w:t>
            </w:r>
          </w:p>
        </w:tc>
        <w:tc>
          <w:tcPr>
            <w:tcW w:w="777" w:type="dxa"/>
            <w:noWrap w:val="0"/>
            <w:vAlign w:val="center"/>
          </w:tcPr>
          <w:p w14:paraId="38873C54">
            <w:pPr>
              <w:jc w:val="center"/>
              <w:rPr>
                <w:rFonts w:hint="eastAsia" w:ascii="仿宋_GB2312" w:hAnsi="宋体" w:eastAsia="仿宋_GB2312"/>
                <w:sz w:val="24"/>
              </w:rPr>
            </w:pPr>
            <w:r>
              <w:rPr>
                <w:rFonts w:hint="eastAsia" w:ascii="仿宋_GB2312" w:hAnsi="宋体" w:eastAsia="仿宋_GB2312"/>
                <w:sz w:val="24"/>
              </w:rPr>
              <w:t>数量</w:t>
            </w:r>
          </w:p>
        </w:tc>
        <w:tc>
          <w:tcPr>
            <w:tcW w:w="1701" w:type="dxa"/>
            <w:noWrap w:val="0"/>
            <w:vAlign w:val="center"/>
          </w:tcPr>
          <w:p w14:paraId="39266589">
            <w:pPr>
              <w:jc w:val="center"/>
              <w:rPr>
                <w:rFonts w:hint="eastAsia" w:ascii="仿宋_GB2312" w:hAnsi="宋体" w:eastAsia="仿宋_GB2312"/>
                <w:sz w:val="24"/>
              </w:rPr>
            </w:pPr>
            <w:r>
              <w:rPr>
                <w:rFonts w:hint="eastAsia" w:ascii="仿宋_GB2312" w:hAnsi="宋体" w:eastAsia="仿宋_GB2312"/>
                <w:sz w:val="24"/>
              </w:rPr>
              <w:t>账面价值</w:t>
            </w:r>
          </w:p>
        </w:tc>
        <w:tc>
          <w:tcPr>
            <w:tcW w:w="2289" w:type="dxa"/>
            <w:noWrap w:val="0"/>
            <w:vAlign w:val="top"/>
          </w:tcPr>
          <w:p w14:paraId="4C41C1E5">
            <w:pPr>
              <w:pStyle w:val="2"/>
              <w:spacing w:line="500" w:lineRule="exact"/>
              <w:ind w:firstLine="0"/>
              <w:jc w:val="center"/>
              <w:rPr>
                <w:rFonts w:hint="eastAsia" w:hAnsi="宋体"/>
                <w:color w:val="auto"/>
                <w:kern w:val="2"/>
                <w:sz w:val="24"/>
              </w:rPr>
            </w:pPr>
            <w:r>
              <w:rPr>
                <w:rFonts w:hint="eastAsia" w:hAnsi="宋体"/>
                <w:sz w:val="24"/>
              </w:rPr>
              <w:t>备注</w:t>
            </w:r>
          </w:p>
        </w:tc>
      </w:tr>
      <w:tr w14:paraId="0926D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817" w:type="dxa"/>
            <w:noWrap w:val="0"/>
            <w:vAlign w:val="center"/>
          </w:tcPr>
          <w:p w14:paraId="47E848EE">
            <w:pPr>
              <w:rPr>
                <w:rFonts w:ascii="仿宋_GB2312" w:hAnsi="宋体" w:eastAsia="仿宋_GB2312"/>
                <w:sz w:val="24"/>
              </w:rPr>
            </w:pPr>
          </w:p>
        </w:tc>
        <w:tc>
          <w:tcPr>
            <w:tcW w:w="2126" w:type="dxa"/>
            <w:noWrap w:val="0"/>
            <w:vAlign w:val="center"/>
          </w:tcPr>
          <w:p w14:paraId="0B63438F">
            <w:pPr>
              <w:rPr>
                <w:rFonts w:ascii="仿宋_GB2312" w:hAnsi="宋体" w:eastAsia="仿宋_GB2312"/>
                <w:sz w:val="24"/>
              </w:rPr>
            </w:pPr>
          </w:p>
        </w:tc>
        <w:tc>
          <w:tcPr>
            <w:tcW w:w="1350" w:type="dxa"/>
            <w:noWrap w:val="0"/>
            <w:vAlign w:val="center"/>
          </w:tcPr>
          <w:p w14:paraId="201D4F3E">
            <w:pPr>
              <w:rPr>
                <w:rFonts w:ascii="仿宋_GB2312" w:hAnsi="宋体" w:eastAsia="仿宋_GB2312"/>
                <w:sz w:val="24"/>
              </w:rPr>
            </w:pPr>
          </w:p>
        </w:tc>
        <w:tc>
          <w:tcPr>
            <w:tcW w:w="777" w:type="dxa"/>
            <w:noWrap w:val="0"/>
            <w:vAlign w:val="center"/>
          </w:tcPr>
          <w:p w14:paraId="2EF80659">
            <w:pPr>
              <w:rPr>
                <w:rFonts w:ascii="仿宋_GB2312" w:hAnsi="宋体" w:eastAsia="仿宋_GB2312"/>
                <w:sz w:val="24"/>
              </w:rPr>
            </w:pPr>
          </w:p>
        </w:tc>
        <w:tc>
          <w:tcPr>
            <w:tcW w:w="1701" w:type="dxa"/>
            <w:noWrap w:val="0"/>
            <w:vAlign w:val="center"/>
          </w:tcPr>
          <w:p w14:paraId="0C49CCCE">
            <w:pPr>
              <w:rPr>
                <w:rFonts w:ascii="仿宋_GB2312" w:hAnsi="宋体" w:eastAsia="仿宋_GB2312"/>
                <w:sz w:val="24"/>
              </w:rPr>
            </w:pPr>
          </w:p>
        </w:tc>
        <w:tc>
          <w:tcPr>
            <w:tcW w:w="2289" w:type="dxa"/>
            <w:noWrap w:val="0"/>
            <w:vAlign w:val="top"/>
          </w:tcPr>
          <w:p w14:paraId="3A8B0343">
            <w:pPr>
              <w:pStyle w:val="2"/>
              <w:spacing w:line="500" w:lineRule="exact"/>
              <w:ind w:firstLine="0"/>
              <w:rPr>
                <w:rFonts w:hint="eastAsia" w:hAnsi="Times New Roman"/>
                <w:color w:val="auto"/>
                <w:kern w:val="2"/>
                <w:sz w:val="30"/>
                <w:szCs w:val="30"/>
              </w:rPr>
            </w:pPr>
          </w:p>
        </w:tc>
      </w:tr>
      <w:tr w14:paraId="012D5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28D4D39">
            <w:pPr>
              <w:pStyle w:val="2"/>
              <w:spacing w:line="500" w:lineRule="exact"/>
              <w:ind w:firstLine="0"/>
              <w:rPr>
                <w:rFonts w:hint="eastAsia" w:hAnsi="Times New Roman"/>
                <w:color w:val="auto"/>
                <w:kern w:val="2"/>
                <w:sz w:val="30"/>
                <w:szCs w:val="30"/>
              </w:rPr>
            </w:pPr>
          </w:p>
        </w:tc>
        <w:tc>
          <w:tcPr>
            <w:tcW w:w="2126" w:type="dxa"/>
            <w:noWrap w:val="0"/>
            <w:vAlign w:val="top"/>
          </w:tcPr>
          <w:p w14:paraId="3767C214">
            <w:pPr>
              <w:pStyle w:val="2"/>
              <w:spacing w:line="500" w:lineRule="exact"/>
              <w:ind w:firstLine="0"/>
              <w:rPr>
                <w:rFonts w:hint="eastAsia" w:hAnsi="Times New Roman"/>
                <w:color w:val="auto"/>
                <w:kern w:val="2"/>
                <w:sz w:val="30"/>
                <w:szCs w:val="30"/>
              </w:rPr>
            </w:pPr>
          </w:p>
        </w:tc>
        <w:tc>
          <w:tcPr>
            <w:tcW w:w="1350" w:type="dxa"/>
            <w:noWrap w:val="0"/>
            <w:vAlign w:val="top"/>
          </w:tcPr>
          <w:p w14:paraId="3DF87DD4">
            <w:pPr>
              <w:pStyle w:val="2"/>
              <w:spacing w:line="500" w:lineRule="exact"/>
              <w:ind w:firstLine="0"/>
              <w:rPr>
                <w:rFonts w:hint="eastAsia" w:hAnsi="Times New Roman"/>
                <w:color w:val="auto"/>
                <w:kern w:val="2"/>
                <w:sz w:val="30"/>
                <w:szCs w:val="30"/>
              </w:rPr>
            </w:pPr>
          </w:p>
        </w:tc>
        <w:tc>
          <w:tcPr>
            <w:tcW w:w="777" w:type="dxa"/>
            <w:noWrap w:val="0"/>
            <w:vAlign w:val="top"/>
          </w:tcPr>
          <w:p w14:paraId="3BE67A28">
            <w:pPr>
              <w:pStyle w:val="2"/>
              <w:spacing w:line="500" w:lineRule="exact"/>
              <w:ind w:firstLine="0"/>
              <w:rPr>
                <w:rFonts w:hint="eastAsia" w:hAnsi="Times New Roman"/>
                <w:color w:val="auto"/>
                <w:kern w:val="2"/>
                <w:sz w:val="30"/>
                <w:szCs w:val="30"/>
              </w:rPr>
            </w:pPr>
          </w:p>
        </w:tc>
        <w:tc>
          <w:tcPr>
            <w:tcW w:w="1701" w:type="dxa"/>
            <w:noWrap w:val="0"/>
            <w:vAlign w:val="top"/>
          </w:tcPr>
          <w:p w14:paraId="7698B214">
            <w:pPr>
              <w:pStyle w:val="2"/>
              <w:spacing w:line="500" w:lineRule="exact"/>
              <w:ind w:firstLine="0"/>
              <w:rPr>
                <w:rFonts w:hint="eastAsia" w:hAnsi="Times New Roman"/>
                <w:color w:val="auto"/>
                <w:kern w:val="2"/>
                <w:sz w:val="30"/>
                <w:szCs w:val="30"/>
              </w:rPr>
            </w:pPr>
          </w:p>
        </w:tc>
        <w:tc>
          <w:tcPr>
            <w:tcW w:w="2289" w:type="dxa"/>
            <w:noWrap w:val="0"/>
            <w:vAlign w:val="top"/>
          </w:tcPr>
          <w:p w14:paraId="3D8A26A6">
            <w:pPr>
              <w:pStyle w:val="2"/>
              <w:spacing w:line="500" w:lineRule="exact"/>
              <w:ind w:firstLine="0"/>
              <w:rPr>
                <w:rFonts w:hint="eastAsia" w:hAnsi="Times New Roman"/>
                <w:color w:val="auto"/>
                <w:kern w:val="2"/>
                <w:sz w:val="30"/>
                <w:szCs w:val="30"/>
              </w:rPr>
            </w:pPr>
          </w:p>
        </w:tc>
      </w:tr>
      <w:tr w14:paraId="29E54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D1A96BE">
            <w:pPr>
              <w:pStyle w:val="2"/>
              <w:spacing w:line="500" w:lineRule="exact"/>
              <w:ind w:firstLine="0"/>
              <w:rPr>
                <w:rFonts w:hint="eastAsia" w:hAnsi="Times New Roman"/>
                <w:color w:val="auto"/>
                <w:kern w:val="2"/>
                <w:sz w:val="30"/>
                <w:szCs w:val="30"/>
              </w:rPr>
            </w:pPr>
          </w:p>
        </w:tc>
        <w:tc>
          <w:tcPr>
            <w:tcW w:w="2126" w:type="dxa"/>
            <w:noWrap w:val="0"/>
            <w:vAlign w:val="top"/>
          </w:tcPr>
          <w:p w14:paraId="69E8D493">
            <w:pPr>
              <w:pStyle w:val="2"/>
              <w:spacing w:line="500" w:lineRule="exact"/>
              <w:ind w:firstLine="0"/>
              <w:rPr>
                <w:rFonts w:hint="eastAsia" w:hAnsi="Times New Roman"/>
                <w:color w:val="auto"/>
                <w:kern w:val="2"/>
                <w:sz w:val="30"/>
                <w:szCs w:val="30"/>
              </w:rPr>
            </w:pPr>
          </w:p>
        </w:tc>
        <w:tc>
          <w:tcPr>
            <w:tcW w:w="1350" w:type="dxa"/>
            <w:noWrap w:val="0"/>
            <w:vAlign w:val="top"/>
          </w:tcPr>
          <w:p w14:paraId="17C5D963">
            <w:pPr>
              <w:pStyle w:val="2"/>
              <w:spacing w:line="500" w:lineRule="exact"/>
              <w:ind w:firstLine="0"/>
              <w:rPr>
                <w:rFonts w:hint="eastAsia" w:hAnsi="Times New Roman"/>
                <w:color w:val="auto"/>
                <w:kern w:val="2"/>
                <w:sz w:val="30"/>
                <w:szCs w:val="30"/>
              </w:rPr>
            </w:pPr>
          </w:p>
        </w:tc>
        <w:tc>
          <w:tcPr>
            <w:tcW w:w="777" w:type="dxa"/>
            <w:noWrap w:val="0"/>
            <w:vAlign w:val="top"/>
          </w:tcPr>
          <w:p w14:paraId="7FE7C7E8">
            <w:pPr>
              <w:pStyle w:val="2"/>
              <w:spacing w:line="500" w:lineRule="exact"/>
              <w:ind w:firstLine="0"/>
              <w:rPr>
                <w:rFonts w:hint="eastAsia" w:hAnsi="Times New Roman"/>
                <w:color w:val="auto"/>
                <w:kern w:val="2"/>
                <w:sz w:val="30"/>
                <w:szCs w:val="30"/>
              </w:rPr>
            </w:pPr>
          </w:p>
        </w:tc>
        <w:tc>
          <w:tcPr>
            <w:tcW w:w="1701" w:type="dxa"/>
            <w:noWrap w:val="0"/>
            <w:vAlign w:val="top"/>
          </w:tcPr>
          <w:p w14:paraId="0977BDB3">
            <w:pPr>
              <w:pStyle w:val="2"/>
              <w:spacing w:line="500" w:lineRule="exact"/>
              <w:ind w:firstLine="0"/>
              <w:rPr>
                <w:rFonts w:hint="eastAsia" w:hAnsi="Times New Roman"/>
                <w:color w:val="auto"/>
                <w:kern w:val="2"/>
                <w:sz w:val="30"/>
                <w:szCs w:val="30"/>
              </w:rPr>
            </w:pPr>
          </w:p>
        </w:tc>
        <w:tc>
          <w:tcPr>
            <w:tcW w:w="2289" w:type="dxa"/>
            <w:noWrap w:val="0"/>
            <w:vAlign w:val="top"/>
          </w:tcPr>
          <w:p w14:paraId="77D3A4BE">
            <w:pPr>
              <w:pStyle w:val="2"/>
              <w:spacing w:line="500" w:lineRule="exact"/>
              <w:ind w:firstLine="0"/>
              <w:rPr>
                <w:rFonts w:hint="eastAsia" w:hAnsi="Times New Roman"/>
                <w:color w:val="auto"/>
                <w:kern w:val="2"/>
                <w:sz w:val="30"/>
                <w:szCs w:val="30"/>
              </w:rPr>
            </w:pPr>
          </w:p>
        </w:tc>
      </w:tr>
      <w:tr w14:paraId="20F20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777E0C95">
            <w:pPr>
              <w:jc w:val="center"/>
              <w:rPr>
                <w:rFonts w:hint="eastAsia" w:ascii="仿宋_GB2312" w:hAnsi="宋体" w:eastAsia="仿宋_GB2312"/>
                <w:sz w:val="24"/>
              </w:rPr>
            </w:pPr>
          </w:p>
        </w:tc>
        <w:tc>
          <w:tcPr>
            <w:tcW w:w="2126" w:type="dxa"/>
            <w:noWrap w:val="0"/>
            <w:vAlign w:val="top"/>
          </w:tcPr>
          <w:p w14:paraId="399D0505">
            <w:pPr>
              <w:pStyle w:val="2"/>
              <w:spacing w:line="500" w:lineRule="exact"/>
              <w:ind w:firstLine="0"/>
              <w:rPr>
                <w:rFonts w:hint="eastAsia" w:hAnsi="Times New Roman"/>
                <w:color w:val="auto"/>
                <w:kern w:val="2"/>
                <w:sz w:val="30"/>
                <w:szCs w:val="30"/>
              </w:rPr>
            </w:pPr>
          </w:p>
        </w:tc>
        <w:tc>
          <w:tcPr>
            <w:tcW w:w="1350" w:type="dxa"/>
            <w:noWrap w:val="0"/>
            <w:vAlign w:val="top"/>
          </w:tcPr>
          <w:p w14:paraId="774BA7E3">
            <w:pPr>
              <w:pStyle w:val="2"/>
              <w:spacing w:line="500" w:lineRule="exact"/>
              <w:ind w:firstLine="0"/>
              <w:rPr>
                <w:rFonts w:hint="eastAsia" w:hAnsi="Times New Roman"/>
                <w:color w:val="auto"/>
                <w:kern w:val="2"/>
                <w:sz w:val="30"/>
                <w:szCs w:val="30"/>
              </w:rPr>
            </w:pPr>
          </w:p>
        </w:tc>
        <w:tc>
          <w:tcPr>
            <w:tcW w:w="777" w:type="dxa"/>
            <w:noWrap w:val="0"/>
            <w:vAlign w:val="top"/>
          </w:tcPr>
          <w:p w14:paraId="2CCD4D3A">
            <w:pPr>
              <w:pStyle w:val="2"/>
              <w:spacing w:line="500" w:lineRule="exact"/>
              <w:ind w:firstLine="0"/>
              <w:rPr>
                <w:rFonts w:hint="eastAsia" w:hAnsi="Times New Roman"/>
                <w:color w:val="auto"/>
                <w:kern w:val="2"/>
                <w:sz w:val="30"/>
                <w:szCs w:val="30"/>
              </w:rPr>
            </w:pPr>
          </w:p>
        </w:tc>
        <w:tc>
          <w:tcPr>
            <w:tcW w:w="1701" w:type="dxa"/>
            <w:noWrap w:val="0"/>
            <w:vAlign w:val="top"/>
          </w:tcPr>
          <w:p w14:paraId="4ADFE4E3">
            <w:pPr>
              <w:pStyle w:val="2"/>
              <w:spacing w:line="500" w:lineRule="exact"/>
              <w:ind w:firstLine="0"/>
              <w:rPr>
                <w:rFonts w:hint="eastAsia" w:hAnsi="Times New Roman"/>
                <w:color w:val="auto"/>
                <w:kern w:val="2"/>
                <w:sz w:val="30"/>
                <w:szCs w:val="30"/>
              </w:rPr>
            </w:pPr>
          </w:p>
        </w:tc>
        <w:tc>
          <w:tcPr>
            <w:tcW w:w="2289" w:type="dxa"/>
            <w:noWrap w:val="0"/>
            <w:vAlign w:val="top"/>
          </w:tcPr>
          <w:p w14:paraId="40A51C00">
            <w:pPr>
              <w:pStyle w:val="2"/>
              <w:spacing w:line="500" w:lineRule="exact"/>
              <w:ind w:firstLine="0"/>
              <w:rPr>
                <w:rFonts w:hint="eastAsia" w:hAnsi="Times New Roman"/>
                <w:color w:val="auto"/>
                <w:kern w:val="2"/>
                <w:sz w:val="30"/>
                <w:szCs w:val="30"/>
              </w:rPr>
            </w:pPr>
          </w:p>
        </w:tc>
      </w:tr>
      <w:tr w14:paraId="4FCEE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53915C08">
            <w:pPr>
              <w:jc w:val="center"/>
              <w:rPr>
                <w:rFonts w:hint="eastAsia" w:ascii="仿宋_GB2312" w:hAnsi="宋体" w:eastAsia="仿宋_GB2312"/>
                <w:sz w:val="24"/>
              </w:rPr>
            </w:pPr>
            <w:r>
              <w:rPr>
                <w:rFonts w:hint="eastAsia" w:ascii="仿宋_GB2312" w:hAnsi="宋体" w:eastAsia="仿宋_GB2312"/>
                <w:sz w:val="24"/>
              </w:rPr>
              <w:t>合计</w:t>
            </w:r>
          </w:p>
        </w:tc>
        <w:tc>
          <w:tcPr>
            <w:tcW w:w="2126" w:type="dxa"/>
            <w:noWrap w:val="0"/>
            <w:vAlign w:val="top"/>
          </w:tcPr>
          <w:p w14:paraId="50B232A2">
            <w:pPr>
              <w:pStyle w:val="2"/>
              <w:spacing w:line="500" w:lineRule="exact"/>
              <w:ind w:firstLine="0"/>
              <w:rPr>
                <w:rFonts w:hint="eastAsia" w:hAnsi="Times New Roman"/>
                <w:color w:val="auto"/>
                <w:kern w:val="2"/>
                <w:sz w:val="30"/>
                <w:szCs w:val="30"/>
              </w:rPr>
            </w:pPr>
          </w:p>
        </w:tc>
        <w:tc>
          <w:tcPr>
            <w:tcW w:w="1350" w:type="dxa"/>
            <w:noWrap w:val="0"/>
            <w:vAlign w:val="top"/>
          </w:tcPr>
          <w:p w14:paraId="2AC5B43F">
            <w:pPr>
              <w:pStyle w:val="2"/>
              <w:spacing w:line="500" w:lineRule="exact"/>
              <w:ind w:firstLine="0"/>
              <w:rPr>
                <w:rFonts w:hint="eastAsia" w:hAnsi="Times New Roman"/>
                <w:color w:val="auto"/>
                <w:kern w:val="2"/>
                <w:sz w:val="30"/>
                <w:szCs w:val="30"/>
              </w:rPr>
            </w:pPr>
          </w:p>
        </w:tc>
        <w:tc>
          <w:tcPr>
            <w:tcW w:w="777" w:type="dxa"/>
            <w:noWrap w:val="0"/>
            <w:vAlign w:val="top"/>
          </w:tcPr>
          <w:p w14:paraId="460BCCDD">
            <w:pPr>
              <w:pStyle w:val="2"/>
              <w:spacing w:line="500" w:lineRule="exact"/>
              <w:ind w:firstLine="0"/>
              <w:rPr>
                <w:rFonts w:hint="eastAsia" w:hAnsi="Times New Roman"/>
                <w:color w:val="auto"/>
                <w:kern w:val="2"/>
                <w:sz w:val="30"/>
                <w:szCs w:val="30"/>
              </w:rPr>
            </w:pPr>
          </w:p>
        </w:tc>
        <w:tc>
          <w:tcPr>
            <w:tcW w:w="1701" w:type="dxa"/>
            <w:noWrap w:val="0"/>
            <w:vAlign w:val="top"/>
          </w:tcPr>
          <w:p w14:paraId="0FA419DD">
            <w:pPr>
              <w:pStyle w:val="2"/>
              <w:spacing w:line="500" w:lineRule="exact"/>
              <w:ind w:firstLine="0"/>
              <w:rPr>
                <w:rFonts w:hint="eastAsia" w:hAnsi="Times New Roman"/>
                <w:color w:val="auto"/>
                <w:kern w:val="2"/>
                <w:sz w:val="30"/>
                <w:szCs w:val="30"/>
              </w:rPr>
            </w:pPr>
          </w:p>
        </w:tc>
        <w:tc>
          <w:tcPr>
            <w:tcW w:w="2289" w:type="dxa"/>
            <w:noWrap w:val="0"/>
            <w:vAlign w:val="top"/>
          </w:tcPr>
          <w:p w14:paraId="4231AFB0">
            <w:pPr>
              <w:pStyle w:val="2"/>
              <w:spacing w:line="500" w:lineRule="exact"/>
              <w:ind w:firstLine="0"/>
              <w:rPr>
                <w:rFonts w:hint="eastAsia" w:hAnsi="Times New Roman"/>
                <w:color w:val="auto"/>
                <w:kern w:val="2"/>
                <w:sz w:val="30"/>
                <w:szCs w:val="30"/>
              </w:rPr>
            </w:pPr>
          </w:p>
        </w:tc>
      </w:tr>
    </w:tbl>
    <w:p w14:paraId="58C4A114"/>
    <w:p w14:paraId="0DD4FB51">
      <w:pPr>
        <w:spacing w:line="500" w:lineRule="exact"/>
        <w:jc w:val="right"/>
        <w:rPr>
          <w:rFonts w:hint="eastAsia" w:ascii="仿宋_GB2312" w:hAnsi="ˎ̥" w:eastAsia="仿宋_GB2312" w:cs="Times New Roman"/>
          <w:color w:val="000000"/>
          <w:kern w:val="0"/>
          <w:sz w:val="30"/>
          <w:szCs w:val="30"/>
          <w:lang w:val="en-US" w:eastAsia="zh-CN" w:bidi="ar-SA"/>
        </w:rPr>
      </w:pPr>
      <w:r>
        <w:rPr>
          <w:rFonts w:hint="eastAsia" w:ascii="仿宋_GB2312" w:hAnsi="ˎ̥" w:eastAsia="仿宋_GB2312" w:cs="Times New Roman"/>
          <w:color w:val="000000"/>
          <w:kern w:val="0"/>
          <w:sz w:val="30"/>
          <w:szCs w:val="30"/>
          <w:lang w:val="en-US" w:eastAsia="zh-CN" w:bidi="ar-SA"/>
        </w:rPr>
        <w:t>磐安县财政局行政事业资产管理科</w:t>
      </w:r>
    </w:p>
    <w:p w14:paraId="2CF8856E">
      <w:pPr>
        <w:spacing w:line="500" w:lineRule="exact"/>
        <w:jc w:val="right"/>
        <w:rPr>
          <w:rFonts w:hint="eastAsia" w:ascii="仿宋_GB2312" w:hAnsi="ˎ̥" w:eastAsia="仿宋_GB2312" w:cs="Times New Roman"/>
          <w:color w:val="000000"/>
          <w:kern w:val="0"/>
          <w:sz w:val="30"/>
          <w:szCs w:val="30"/>
          <w:lang w:val="en-US" w:eastAsia="zh-CN" w:bidi="ar-SA"/>
        </w:rPr>
      </w:pPr>
      <w:r>
        <w:rPr>
          <w:rFonts w:hint="eastAsia" w:ascii="仿宋_GB2312" w:hAnsi="ˎ̥" w:eastAsia="仿宋_GB2312" w:cs="Times New Roman"/>
          <w:color w:val="000000"/>
          <w:kern w:val="0"/>
          <w:sz w:val="30"/>
          <w:szCs w:val="30"/>
          <w:lang w:val="en-US" w:eastAsia="zh-CN" w:bidi="ar-SA"/>
        </w:rPr>
        <w:t>年   月  日</w:t>
      </w:r>
    </w:p>
    <w:p w14:paraId="13737181">
      <w:pPr>
        <w:spacing w:line="500" w:lineRule="exact"/>
        <w:jc w:val="both"/>
        <w:rPr>
          <w:rFonts w:hint="eastAsia" w:ascii="仿宋_GB2312" w:hAnsi="ˎ̥" w:eastAsia="仿宋_GB2312" w:cs="Times New Roman"/>
          <w:color w:val="000000"/>
          <w:kern w:val="0"/>
          <w:sz w:val="30"/>
          <w:szCs w:val="30"/>
          <w:lang w:val="en-US" w:eastAsia="zh-CN" w:bidi="ar-SA"/>
        </w:rPr>
      </w:pPr>
    </w:p>
    <w:p w14:paraId="39BFF752">
      <w:pPr>
        <w:rPr>
          <w:rFonts w:hint="eastAsia"/>
          <w:lang w:eastAsia="zh-CN"/>
        </w:rPr>
      </w:pPr>
      <w:r>
        <w:rPr>
          <w:rFonts w:hint="eastAsia"/>
          <w:lang w:eastAsia="zh-CN"/>
        </w:rPr>
        <w:t>——————————————————————————</w:t>
      </w:r>
    </w:p>
    <w:p w14:paraId="11BA4211">
      <w:pPr>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val="en-US" w:eastAsia="zh-CN"/>
        </w:rPr>
        <w:t>磐安县</w:t>
      </w:r>
      <w:r>
        <w:rPr>
          <w:rFonts w:hint="eastAsia" w:ascii="方正小标宋_GBK" w:hAnsi="方正小标宋_GBK" w:eastAsia="方正小标宋_GBK" w:cs="方正小标宋_GBK"/>
          <w:sz w:val="32"/>
          <w:szCs w:val="32"/>
          <w:lang w:eastAsia="zh-CN"/>
        </w:rPr>
        <w:t>财政公物仓资产调配（拨）移交单</w:t>
      </w:r>
    </w:p>
    <w:p w14:paraId="52C02BB1">
      <w:pPr>
        <w:jc w:val="center"/>
        <w:rPr>
          <w:rFonts w:hint="eastAsia" w:ascii="仿宋_GB2312" w:hAnsi="ˎ̥" w:eastAsia="仿宋_GB2312" w:cs="Times New Roman"/>
          <w:color w:val="000000"/>
          <w:kern w:val="0"/>
          <w:sz w:val="30"/>
          <w:szCs w:val="30"/>
          <w:lang w:val="en-US" w:eastAsia="zh-CN" w:bidi="ar-SA"/>
        </w:rPr>
      </w:pPr>
      <w:r>
        <w:rPr>
          <w:rFonts w:hint="eastAsia" w:ascii="仿宋_GB2312" w:hAnsi="ˎ̥" w:eastAsia="仿宋_GB2312" w:cs="Times New Roman"/>
          <w:color w:val="000000"/>
          <w:kern w:val="0"/>
          <w:sz w:val="30"/>
          <w:szCs w:val="30"/>
          <w:lang w:val="en-US" w:eastAsia="zh-CN" w:bidi="ar-SA"/>
        </w:rPr>
        <w:t>依据资产调配（拨）通知书，以上资产已移交接收单位。</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1"/>
        <w:gridCol w:w="5059"/>
      </w:tblGrid>
      <w:tr w14:paraId="3F64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1" w:type="dxa"/>
            <w:vMerge w:val="restart"/>
          </w:tcPr>
          <w:p w14:paraId="76FFD5D8">
            <w:pPr>
              <w:spacing w:line="500" w:lineRule="exact"/>
              <w:jc w:val="left"/>
              <w:rPr>
                <w:rFonts w:hint="eastAsia" w:ascii="仿宋_GB2312" w:hAnsi="ˎ̥" w:eastAsia="仿宋_GB2312" w:cs="Times New Roman"/>
                <w:color w:val="000000"/>
                <w:kern w:val="0"/>
                <w:sz w:val="30"/>
                <w:szCs w:val="30"/>
                <w:vertAlign w:val="baseline"/>
                <w:lang w:val="en-US" w:eastAsia="zh-CN" w:bidi="ar-SA"/>
              </w:rPr>
            </w:pPr>
            <w:r>
              <w:rPr>
                <w:rFonts w:hint="eastAsia" w:ascii="仿宋_GB2312" w:hAnsi="ˎ̥" w:eastAsia="仿宋_GB2312" w:cs="Times New Roman"/>
                <w:color w:val="000000"/>
                <w:kern w:val="0"/>
                <w:sz w:val="30"/>
                <w:szCs w:val="30"/>
                <w:lang w:val="en-US" w:eastAsia="zh-CN" w:bidi="ar-SA"/>
              </w:rPr>
              <w:t>公物仓移交人（签字）：</w:t>
            </w:r>
          </w:p>
        </w:tc>
        <w:tc>
          <w:tcPr>
            <w:tcW w:w="5059" w:type="dxa"/>
          </w:tcPr>
          <w:p w14:paraId="6338C3D2">
            <w:pPr>
              <w:spacing w:line="500" w:lineRule="exact"/>
              <w:jc w:val="left"/>
              <w:rPr>
                <w:rFonts w:hint="eastAsia" w:ascii="仿宋_GB2312" w:hAnsi="ˎ̥" w:eastAsia="仿宋_GB2312" w:cs="Times New Roman"/>
                <w:color w:val="000000"/>
                <w:kern w:val="0"/>
                <w:sz w:val="30"/>
                <w:szCs w:val="30"/>
                <w:vertAlign w:val="baseline"/>
                <w:lang w:val="en-US" w:eastAsia="zh-CN" w:bidi="ar-SA"/>
              </w:rPr>
            </w:pPr>
            <w:r>
              <w:rPr>
                <w:rFonts w:hint="eastAsia" w:ascii="仿宋_GB2312" w:hAnsi="ˎ̥" w:eastAsia="仿宋_GB2312" w:cs="Times New Roman"/>
                <w:color w:val="000000"/>
                <w:kern w:val="0"/>
                <w:sz w:val="30"/>
                <w:szCs w:val="30"/>
                <w:lang w:val="en-US" w:eastAsia="zh-CN" w:bidi="ar-SA"/>
              </w:rPr>
              <w:t>接收单位：</w:t>
            </w:r>
          </w:p>
        </w:tc>
      </w:tr>
      <w:tr w14:paraId="4662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1" w:type="dxa"/>
            <w:vMerge w:val="continue"/>
          </w:tcPr>
          <w:p w14:paraId="5649E223">
            <w:pPr>
              <w:spacing w:line="500" w:lineRule="exact"/>
              <w:jc w:val="left"/>
              <w:rPr>
                <w:rFonts w:hint="eastAsia" w:ascii="仿宋_GB2312" w:hAnsi="ˎ̥" w:eastAsia="仿宋_GB2312" w:cs="Times New Roman"/>
                <w:color w:val="000000"/>
                <w:kern w:val="0"/>
                <w:sz w:val="30"/>
                <w:szCs w:val="30"/>
                <w:vertAlign w:val="baseline"/>
                <w:lang w:val="en-US" w:eastAsia="zh-CN" w:bidi="ar-SA"/>
              </w:rPr>
            </w:pPr>
          </w:p>
        </w:tc>
        <w:tc>
          <w:tcPr>
            <w:tcW w:w="5059" w:type="dxa"/>
          </w:tcPr>
          <w:p w14:paraId="0FA9875E">
            <w:pPr>
              <w:spacing w:line="500" w:lineRule="exact"/>
              <w:jc w:val="left"/>
              <w:rPr>
                <w:rFonts w:hint="eastAsia" w:ascii="仿宋_GB2312" w:hAnsi="ˎ̥" w:eastAsia="仿宋_GB2312" w:cs="Times New Roman"/>
                <w:color w:val="000000"/>
                <w:kern w:val="0"/>
                <w:sz w:val="30"/>
                <w:szCs w:val="30"/>
                <w:vertAlign w:val="baseline"/>
                <w:lang w:val="en-US" w:eastAsia="zh-CN" w:bidi="ar-SA"/>
              </w:rPr>
            </w:pPr>
            <w:r>
              <w:rPr>
                <w:rFonts w:hint="eastAsia" w:ascii="仿宋_GB2312" w:hAnsi="ˎ̥" w:eastAsia="仿宋_GB2312" w:cs="Times New Roman"/>
                <w:color w:val="000000"/>
                <w:kern w:val="0"/>
                <w:sz w:val="30"/>
                <w:szCs w:val="30"/>
                <w:lang w:val="en-US" w:eastAsia="zh-CN" w:bidi="ar-SA"/>
              </w:rPr>
              <w:t>接收人（签字）：</w:t>
            </w:r>
          </w:p>
        </w:tc>
      </w:tr>
      <w:tr w14:paraId="58BF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1" w:type="dxa"/>
            <w:vMerge w:val="continue"/>
          </w:tcPr>
          <w:p w14:paraId="110FA650">
            <w:pPr>
              <w:spacing w:line="500" w:lineRule="exact"/>
              <w:jc w:val="left"/>
              <w:rPr>
                <w:rFonts w:hint="eastAsia" w:ascii="仿宋_GB2312" w:hAnsi="ˎ̥" w:eastAsia="仿宋_GB2312" w:cs="Times New Roman"/>
                <w:color w:val="000000"/>
                <w:kern w:val="0"/>
                <w:sz w:val="30"/>
                <w:szCs w:val="30"/>
                <w:vertAlign w:val="baseline"/>
                <w:lang w:val="en-US" w:eastAsia="zh-CN" w:bidi="ar-SA"/>
              </w:rPr>
            </w:pPr>
          </w:p>
        </w:tc>
        <w:tc>
          <w:tcPr>
            <w:tcW w:w="5059" w:type="dxa"/>
          </w:tcPr>
          <w:p w14:paraId="4179C3F5">
            <w:pPr>
              <w:spacing w:line="500" w:lineRule="exact"/>
              <w:jc w:val="left"/>
              <w:rPr>
                <w:rFonts w:hint="eastAsia" w:ascii="仿宋_GB2312" w:hAnsi="ˎ̥" w:eastAsia="仿宋_GB2312" w:cs="Times New Roman"/>
                <w:color w:val="000000"/>
                <w:kern w:val="0"/>
                <w:sz w:val="30"/>
                <w:szCs w:val="30"/>
                <w:vertAlign w:val="baseline"/>
                <w:lang w:val="en-US" w:eastAsia="zh-CN" w:bidi="ar-SA"/>
              </w:rPr>
            </w:pPr>
            <w:r>
              <w:rPr>
                <w:rFonts w:hint="eastAsia" w:ascii="仿宋_GB2312" w:hAnsi="ˎ̥" w:eastAsia="仿宋_GB2312" w:cs="Times New Roman"/>
                <w:color w:val="000000"/>
                <w:kern w:val="0"/>
                <w:sz w:val="30"/>
                <w:szCs w:val="30"/>
                <w:lang w:val="en-US" w:eastAsia="zh-CN" w:bidi="ar-SA"/>
              </w:rPr>
              <w:t>接收时间：</w:t>
            </w:r>
          </w:p>
        </w:tc>
      </w:tr>
    </w:tbl>
    <w:p w14:paraId="59A0BC8D">
      <w:pPr>
        <w:spacing w:line="360" w:lineRule="auto"/>
        <w:jc w:val="both"/>
        <w:rPr>
          <w:rFonts w:hint="default" w:ascii="仿宋_GB2312" w:hAnsi="ˎ̥" w:eastAsia="仿宋_GB2312" w:cs="Times New Roman"/>
          <w:color w:val="000000"/>
          <w:kern w:val="0"/>
          <w:sz w:val="30"/>
          <w:szCs w:val="30"/>
          <w:lang w:val="en-US" w:eastAsia="zh-CN" w:bidi="ar-SA"/>
        </w:rPr>
      </w:pPr>
      <w:r>
        <w:rPr>
          <w:rFonts w:hint="eastAsia" w:ascii="仿宋_GB2312" w:hAnsi="宋体" w:eastAsia="仿宋_GB2312"/>
          <w:sz w:val="24"/>
        </w:rPr>
        <w:t>备注：1、本表一式</w:t>
      </w:r>
      <w:r>
        <w:rPr>
          <w:rFonts w:hint="eastAsia" w:ascii="仿宋_GB2312" w:hAnsi="宋体" w:eastAsia="仿宋_GB2312"/>
          <w:sz w:val="24"/>
          <w:lang w:val="en-US" w:eastAsia="zh-CN"/>
        </w:rPr>
        <w:t>2</w:t>
      </w:r>
      <w:r>
        <w:rPr>
          <w:rFonts w:hint="eastAsia" w:ascii="仿宋_GB2312" w:hAnsi="宋体" w:eastAsia="仿宋_GB2312"/>
          <w:sz w:val="24"/>
        </w:rPr>
        <w:t>份，公物仓1份</w:t>
      </w:r>
      <w:r>
        <w:rPr>
          <w:rFonts w:hint="eastAsia" w:ascii="仿宋_GB2312" w:hAnsi="宋体" w:eastAsia="仿宋_GB2312"/>
          <w:sz w:val="24"/>
          <w:lang w:eastAsia="zh-CN"/>
        </w:rPr>
        <w:t>，接收</w:t>
      </w:r>
      <w:r>
        <w:rPr>
          <w:rFonts w:hint="eastAsia" w:ascii="仿宋_GB2312" w:hAnsi="宋体" w:eastAsia="仿宋_GB2312"/>
          <w:sz w:val="24"/>
        </w:rPr>
        <w:t>单位1份</w:t>
      </w:r>
      <w:r>
        <w:rPr>
          <w:rFonts w:hint="eastAsia" w:ascii="仿宋_GB2312" w:hAnsi="宋体" w:eastAsia="仿宋_GB2312"/>
          <w:sz w:val="24"/>
          <w:lang w:eastAsia="zh-CN"/>
        </w:rPr>
        <w:t>。</w:t>
      </w:r>
    </w:p>
    <w:p w14:paraId="29AA5FF2">
      <w:pPr>
        <w:rPr>
          <w:rFonts w:hint="eastAsia" w:ascii="黑体" w:eastAsia="黑体"/>
          <w:color w:val="000000"/>
          <w:sz w:val="32"/>
          <w:szCs w:val="32"/>
        </w:rPr>
      </w:pPr>
      <w:r>
        <w:rPr>
          <w:rFonts w:hint="eastAsia" w:ascii="黑体" w:eastAsia="黑体"/>
          <w:color w:val="000000"/>
          <w:sz w:val="32"/>
          <w:szCs w:val="32"/>
        </w:rPr>
        <w:t>附件3</w:t>
      </w:r>
    </w:p>
    <w:p w14:paraId="5D9589A1">
      <w:pPr>
        <w:spacing w:line="560" w:lineRule="exact"/>
        <w:jc w:val="center"/>
        <w:rPr>
          <w:rFonts w:hint="eastAsia" w:ascii="方正小标宋简体" w:eastAsia="方正小标宋简体"/>
          <w:bCs/>
          <w:color w:val="000000"/>
          <w:sz w:val="44"/>
        </w:rPr>
      </w:pPr>
      <w:r>
        <w:rPr>
          <w:rFonts w:hint="eastAsia" w:ascii="方正小标宋简体" w:eastAsia="方正小标宋简体"/>
          <w:bCs/>
          <w:color w:val="000000"/>
          <w:sz w:val="44"/>
          <w:lang w:val="en-US" w:eastAsia="zh-CN"/>
        </w:rPr>
        <w:t>磐安县</w:t>
      </w:r>
      <w:r>
        <w:rPr>
          <w:rFonts w:hint="eastAsia" w:ascii="方正小标宋简体" w:eastAsia="方正小标宋简体"/>
          <w:bCs/>
          <w:color w:val="000000"/>
          <w:sz w:val="44"/>
        </w:rPr>
        <w:t>财政公物仓资产借用登记表</w:t>
      </w:r>
    </w:p>
    <w:p w14:paraId="3C20F427">
      <w:pPr>
        <w:spacing w:line="400" w:lineRule="exact"/>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编号：</w:t>
      </w:r>
    </w:p>
    <w:tbl>
      <w:tblPr>
        <w:tblStyle w:val="7"/>
        <w:tblW w:w="9450" w:type="dxa"/>
        <w:tblInd w:w="-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1197"/>
        <w:gridCol w:w="52"/>
        <w:gridCol w:w="30"/>
        <w:gridCol w:w="1208"/>
        <w:gridCol w:w="902"/>
        <w:gridCol w:w="357"/>
        <w:gridCol w:w="716"/>
        <w:gridCol w:w="762"/>
        <w:gridCol w:w="868"/>
        <w:gridCol w:w="355"/>
        <w:gridCol w:w="1620"/>
      </w:tblGrid>
      <w:tr w14:paraId="7AEE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2580" w:type="dxa"/>
            <w:gridSpan w:val="2"/>
            <w:noWrap w:val="0"/>
            <w:vAlign w:val="center"/>
          </w:tcPr>
          <w:p w14:paraId="5AFEF7E1">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借用单位名称</w:t>
            </w:r>
          </w:p>
        </w:tc>
        <w:tc>
          <w:tcPr>
            <w:tcW w:w="3265" w:type="dxa"/>
            <w:gridSpan w:val="6"/>
            <w:noWrap w:val="0"/>
            <w:vAlign w:val="center"/>
          </w:tcPr>
          <w:p w14:paraId="1C933BF5">
            <w:pPr>
              <w:spacing w:line="300" w:lineRule="exact"/>
              <w:rPr>
                <w:rFonts w:hint="eastAsia" w:ascii="仿宋_GB2312" w:hAnsi="仿宋_GB2312" w:eastAsia="仿宋_GB2312" w:cs="仿宋_GB2312"/>
                <w:color w:val="000000"/>
                <w:sz w:val="24"/>
              </w:rPr>
            </w:pPr>
          </w:p>
        </w:tc>
        <w:tc>
          <w:tcPr>
            <w:tcW w:w="1630" w:type="dxa"/>
            <w:gridSpan w:val="2"/>
            <w:noWrap w:val="0"/>
            <w:vAlign w:val="center"/>
          </w:tcPr>
          <w:p w14:paraId="4E6A0E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借用期限</w:t>
            </w:r>
          </w:p>
        </w:tc>
        <w:tc>
          <w:tcPr>
            <w:tcW w:w="1975" w:type="dxa"/>
            <w:gridSpan w:val="2"/>
            <w:noWrap w:val="0"/>
            <w:vAlign w:val="center"/>
          </w:tcPr>
          <w:p w14:paraId="21E4C2A4">
            <w:pPr>
              <w:jc w:val="center"/>
              <w:rPr>
                <w:rFonts w:hint="eastAsia" w:ascii="仿宋_GB2312" w:hAnsi="仿宋_GB2312" w:eastAsia="仿宋_GB2312" w:cs="仿宋_GB2312"/>
                <w:color w:val="000000"/>
                <w:sz w:val="24"/>
              </w:rPr>
            </w:pPr>
          </w:p>
        </w:tc>
      </w:tr>
      <w:tr w14:paraId="722F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2580" w:type="dxa"/>
            <w:gridSpan w:val="2"/>
            <w:noWrap w:val="0"/>
            <w:vAlign w:val="center"/>
          </w:tcPr>
          <w:p w14:paraId="2FD3BEDE">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借用事由</w:t>
            </w:r>
          </w:p>
        </w:tc>
        <w:tc>
          <w:tcPr>
            <w:tcW w:w="6870" w:type="dxa"/>
            <w:gridSpan w:val="10"/>
            <w:noWrap w:val="0"/>
            <w:vAlign w:val="center"/>
          </w:tcPr>
          <w:p w14:paraId="757CF9C1">
            <w:pPr>
              <w:spacing w:line="300" w:lineRule="exact"/>
              <w:jc w:val="center"/>
              <w:rPr>
                <w:rFonts w:hint="eastAsia" w:ascii="仿宋_GB2312" w:hAnsi="仿宋_GB2312" w:eastAsia="仿宋_GB2312" w:cs="仿宋_GB2312"/>
                <w:color w:val="000000"/>
                <w:sz w:val="24"/>
              </w:rPr>
            </w:pPr>
          </w:p>
        </w:tc>
      </w:tr>
      <w:tr w14:paraId="693C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1383" w:type="dxa"/>
            <w:noWrap w:val="0"/>
            <w:vAlign w:val="center"/>
          </w:tcPr>
          <w:p w14:paraId="1B5A7D59">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序号</w:t>
            </w:r>
          </w:p>
        </w:tc>
        <w:tc>
          <w:tcPr>
            <w:tcW w:w="1197" w:type="dxa"/>
            <w:noWrap w:val="0"/>
            <w:vAlign w:val="center"/>
          </w:tcPr>
          <w:p w14:paraId="45A510A4">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资产编号</w:t>
            </w:r>
          </w:p>
        </w:tc>
        <w:tc>
          <w:tcPr>
            <w:tcW w:w="1290" w:type="dxa"/>
            <w:gridSpan w:val="3"/>
            <w:noWrap w:val="0"/>
            <w:vAlign w:val="center"/>
          </w:tcPr>
          <w:p w14:paraId="16759C81">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资产名称</w:t>
            </w:r>
          </w:p>
        </w:tc>
        <w:tc>
          <w:tcPr>
            <w:tcW w:w="1259" w:type="dxa"/>
            <w:gridSpan w:val="2"/>
            <w:noWrap w:val="0"/>
            <w:vAlign w:val="center"/>
          </w:tcPr>
          <w:p w14:paraId="63313D26">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规格型号</w:t>
            </w:r>
          </w:p>
        </w:tc>
        <w:tc>
          <w:tcPr>
            <w:tcW w:w="716" w:type="dxa"/>
            <w:noWrap w:val="0"/>
            <w:vAlign w:val="center"/>
          </w:tcPr>
          <w:p w14:paraId="6C94C779">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单位</w:t>
            </w:r>
          </w:p>
        </w:tc>
        <w:tc>
          <w:tcPr>
            <w:tcW w:w="762" w:type="dxa"/>
            <w:noWrap w:val="0"/>
            <w:vAlign w:val="center"/>
          </w:tcPr>
          <w:p w14:paraId="31754F65">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w:t>
            </w:r>
          </w:p>
        </w:tc>
        <w:tc>
          <w:tcPr>
            <w:tcW w:w="1223" w:type="dxa"/>
            <w:gridSpan w:val="2"/>
            <w:noWrap w:val="0"/>
            <w:vAlign w:val="center"/>
          </w:tcPr>
          <w:p w14:paraId="37FB98DE">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原值（元）</w:t>
            </w:r>
          </w:p>
        </w:tc>
        <w:tc>
          <w:tcPr>
            <w:tcW w:w="1620" w:type="dxa"/>
            <w:noWrap w:val="0"/>
            <w:vAlign w:val="center"/>
          </w:tcPr>
          <w:p w14:paraId="15D5D30B">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备注</w:t>
            </w:r>
          </w:p>
        </w:tc>
      </w:tr>
      <w:tr w14:paraId="21C4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1383" w:type="dxa"/>
            <w:noWrap w:val="0"/>
            <w:vAlign w:val="center"/>
          </w:tcPr>
          <w:p w14:paraId="527B65FA">
            <w:pPr>
              <w:spacing w:line="300" w:lineRule="exact"/>
              <w:jc w:val="center"/>
              <w:rPr>
                <w:rFonts w:hint="eastAsia" w:ascii="仿宋_GB2312" w:hAnsi="仿宋_GB2312" w:eastAsia="仿宋_GB2312" w:cs="仿宋_GB2312"/>
                <w:color w:val="000000"/>
                <w:sz w:val="24"/>
              </w:rPr>
            </w:pPr>
          </w:p>
        </w:tc>
        <w:tc>
          <w:tcPr>
            <w:tcW w:w="1197" w:type="dxa"/>
            <w:noWrap w:val="0"/>
            <w:vAlign w:val="center"/>
          </w:tcPr>
          <w:p w14:paraId="2E4F9F41">
            <w:pPr>
              <w:spacing w:line="300" w:lineRule="exact"/>
              <w:jc w:val="center"/>
              <w:rPr>
                <w:rFonts w:hint="eastAsia" w:ascii="仿宋_GB2312" w:hAnsi="仿宋_GB2312" w:eastAsia="仿宋_GB2312" w:cs="仿宋_GB2312"/>
                <w:color w:val="000000"/>
                <w:sz w:val="24"/>
              </w:rPr>
            </w:pPr>
          </w:p>
        </w:tc>
        <w:tc>
          <w:tcPr>
            <w:tcW w:w="1290" w:type="dxa"/>
            <w:gridSpan w:val="3"/>
            <w:noWrap w:val="0"/>
            <w:vAlign w:val="center"/>
          </w:tcPr>
          <w:p w14:paraId="27C2AACA">
            <w:pPr>
              <w:spacing w:line="300" w:lineRule="exact"/>
              <w:jc w:val="center"/>
              <w:rPr>
                <w:rFonts w:hint="eastAsia" w:ascii="仿宋_GB2312" w:hAnsi="仿宋_GB2312" w:eastAsia="仿宋_GB2312" w:cs="仿宋_GB2312"/>
                <w:color w:val="000000"/>
                <w:sz w:val="24"/>
              </w:rPr>
            </w:pPr>
          </w:p>
        </w:tc>
        <w:tc>
          <w:tcPr>
            <w:tcW w:w="1259" w:type="dxa"/>
            <w:gridSpan w:val="2"/>
            <w:noWrap w:val="0"/>
            <w:vAlign w:val="center"/>
          </w:tcPr>
          <w:p w14:paraId="72CAB8B8">
            <w:pPr>
              <w:spacing w:line="300" w:lineRule="exact"/>
              <w:jc w:val="center"/>
              <w:rPr>
                <w:rFonts w:hint="eastAsia" w:ascii="仿宋_GB2312" w:hAnsi="仿宋_GB2312" w:eastAsia="仿宋_GB2312" w:cs="仿宋_GB2312"/>
                <w:color w:val="000000"/>
                <w:sz w:val="24"/>
              </w:rPr>
            </w:pPr>
          </w:p>
        </w:tc>
        <w:tc>
          <w:tcPr>
            <w:tcW w:w="716" w:type="dxa"/>
            <w:noWrap w:val="0"/>
            <w:vAlign w:val="center"/>
          </w:tcPr>
          <w:p w14:paraId="5289C9DB">
            <w:pPr>
              <w:spacing w:line="300" w:lineRule="exact"/>
              <w:jc w:val="center"/>
              <w:rPr>
                <w:rFonts w:hint="eastAsia" w:ascii="仿宋_GB2312" w:hAnsi="仿宋_GB2312" w:eastAsia="仿宋_GB2312" w:cs="仿宋_GB2312"/>
                <w:color w:val="000000"/>
                <w:sz w:val="24"/>
              </w:rPr>
            </w:pPr>
          </w:p>
        </w:tc>
        <w:tc>
          <w:tcPr>
            <w:tcW w:w="762" w:type="dxa"/>
            <w:noWrap w:val="0"/>
            <w:vAlign w:val="center"/>
          </w:tcPr>
          <w:p w14:paraId="3DCBCAA5">
            <w:pPr>
              <w:jc w:val="center"/>
              <w:rPr>
                <w:rFonts w:hint="eastAsia" w:ascii="仿宋_GB2312" w:hAnsi="仿宋_GB2312" w:eastAsia="仿宋_GB2312" w:cs="仿宋_GB2312"/>
                <w:color w:val="000000"/>
                <w:sz w:val="24"/>
              </w:rPr>
            </w:pPr>
          </w:p>
        </w:tc>
        <w:tc>
          <w:tcPr>
            <w:tcW w:w="1223" w:type="dxa"/>
            <w:gridSpan w:val="2"/>
            <w:noWrap w:val="0"/>
            <w:vAlign w:val="center"/>
          </w:tcPr>
          <w:p w14:paraId="24E9259D">
            <w:pPr>
              <w:jc w:val="center"/>
              <w:rPr>
                <w:rFonts w:hint="eastAsia" w:ascii="仿宋_GB2312" w:hAnsi="仿宋_GB2312" w:eastAsia="仿宋_GB2312" w:cs="仿宋_GB2312"/>
                <w:color w:val="000000"/>
                <w:sz w:val="24"/>
              </w:rPr>
            </w:pPr>
          </w:p>
        </w:tc>
        <w:tc>
          <w:tcPr>
            <w:tcW w:w="1620" w:type="dxa"/>
            <w:noWrap w:val="0"/>
            <w:vAlign w:val="center"/>
          </w:tcPr>
          <w:p w14:paraId="090D39D6">
            <w:pPr>
              <w:jc w:val="center"/>
              <w:rPr>
                <w:rFonts w:hint="eastAsia" w:ascii="仿宋_GB2312" w:hAnsi="仿宋_GB2312" w:eastAsia="仿宋_GB2312" w:cs="仿宋_GB2312"/>
                <w:color w:val="000000"/>
                <w:sz w:val="24"/>
              </w:rPr>
            </w:pPr>
          </w:p>
        </w:tc>
      </w:tr>
      <w:tr w14:paraId="5716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1383" w:type="dxa"/>
            <w:noWrap w:val="0"/>
            <w:vAlign w:val="center"/>
          </w:tcPr>
          <w:p w14:paraId="09A7C476">
            <w:pPr>
              <w:spacing w:line="300" w:lineRule="exact"/>
              <w:jc w:val="center"/>
              <w:rPr>
                <w:rFonts w:hint="eastAsia" w:ascii="仿宋_GB2312" w:hAnsi="仿宋_GB2312" w:eastAsia="仿宋_GB2312" w:cs="仿宋_GB2312"/>
                <w:color w:val="000000"/>
                <w:sz w:val="24"/>
              </w:rPr>
            </w:pPr>
          </w:p>
        </w:tc>
        <w:tc>
          <w:tcPr>
            <w:tcW w:w="1197" w:type="dxa"/>
            <w:noWrap w:val="0"/>
            <w:vAlign w:val="center"/>
          </w:tcPr>
          <w:p w14:paraId="6F701EAD">
            <w:pPr>
              <w:spacing w:line="300" w:lineRule="exact"/>
              <w:jc w:val="center"/>
              <w:rPr>
                <w:rFonts w:hint="eastAsia" w:ascii="仿宋_GB2312" w:hAnsi="仿宋_GB2312" w:eastAsia="仿宋_GB2312" w:cs="仿宋_GB2312"/>
                <w:color w:val="000000"/>
                <w:sz w:val="24"/>
              </w:rPr>
            </w:pPr>
          </w:p>
        </w:tc>
        <w:tc>
          <w:tcPr>
            <w:tcW w:w="1290" w:type="dxa"/>
            <w:gridSpan w:val="3"/>
            <w:noWrap w:val="0"/>
            <w:vAlign w:val="center"/>
          </w:tcPr>
          <w:p w14:paraId="266FB5C5">
            <w:pPr>
              <w:spacing w:line="300" w:lineRule="exact"/>
              <w:jc w:val="center"/>
              <w:rPr>
                <w:rFonts w:hint="eastAsia" w:ascii="仿宋_GB2312" w:hAnsi="仿宋_GB2312" w:eastAsia="仿宋_GB2312" w:cs="仿宋_GB2312"/>
                <w:color w:val="000000"/>
                <w:sz w:val="24"/>
              </w:rPr>
            </w:pPr>
          </w:p>
        </w:tc>
        <w:tc>
          <w:tcPr>
            <w:tcW w:w="1259" w:type="dxa"/>
            <w:gridSpan w:val="2"/>
            <w:noWrap w:val="0"/>
            <w:vAlign w:val="center"/>
          </w:tcPr>
          <w:p w14:paraId="3F002AFE">
            <w:pPr>
              <w:spacing w:line="300" w:lineRule="exact"/>
              <w:jc w:val="center"/>
              <w:rPr>
                <w:rFonts w:hint="eastAsia" w:ascii="仿宋_GB2312" w:hAnsi="仿宋_GB2312" w:eastAsia="仿宋_GB2312" w:cs="仿宋_GB2312"/>
                <w:color w:val="000000"/>
                <w:sz w:val="24"/>
              </w:rPr>
            </w:pPr>
          </w:p>
        </w:tc>
        <w:tc>
          <w:tcPr>
            <w:tcW w:w="716" w:type="dxa"/>
            <w:noWrap w:val="0"/>
            <w:vAlign w:val="center"/>
          </w:tcPr>
          <w:p w14:paraId="05D4B7F1">
            <w:pPr>
              <w:spacing w:line="300" w:lineRule="exact"/>
              <w:jc w:val="center"/>
              <w:rPr>
                <w:rFonts w:hint="eastAsia" w:ascii="仿宋_GB2312" w:hAnsi="仿宋_GB2312" w:eastAsia="仿宋_GB2312" w:cs="仿宋_GB2312"/>
                <w:color w:val="000000"/>
                <w:sz w:val="24"/>
              </w:rPr>
            </w:pPr>
          </w:p>
        </w:tc>
        <w:tc>
          <w:tcPr>
            <w:tcW w:w="762" w:type="dxa"/>
            <w:noWrap w:val="0"/>
            <w:vAlign w:val="center"/>
          </w:tcPr>
          <w:p w14:paraId="5181E563">
            <w:pPr>
              <w:jc w:val="center"/>
              <w:rPr>
                <w:rFonts w:hint="eastAsia" w:ascii="仿宋_GB2312" w:hAnsi="仿宋_GB2312" w:eastAsia="仿宋_GB2312" w:cs="仿宋_GB2312"/>
                <w:color w:val="000000"/>
                <w:sz w:val="24"/>
              </w:rPr>
            </w:pPr>
          </w:p>
        </w:tc>
        <w:tc>
          <w:tcPr>
            <w:tcW w:w="1223" w:type="dxa"/>
            <w:gridSpan w:val="2"/>
            <w:noWrap w:val="0"/>
            <w:vAlign w:val="center"/>
          </w:tcPr>
          <w:p w14:paraId="089D0B95">
            <w:pPr>
              <w:jc w:val="center"/>
              <w:rPr>
                <w:rFonts w:hint="eastAsia" w:ascii="仿宋_GB2312" w:hAnsi="仿宋_GB2312" w:eastAsia="仿宋_GB2312" w:cs="仿宋_GB2312"/>
                <w:color w:val="000000"/>
                <w:sz w:val="24"/>
              </w:rPr>
            </w:pPr>
          </w:p>
        </w:tc>
        <w:tc>
          <w:tcPr>
            <w:tcW w:w="1620" w:type="dxa"/>
            <w:noWrap w:val="0"/>
            <w:vAlign w:val="center"/>
          </w:tcPr>
          <w:p w14:paraId="432930A6">
            <w:pPr>
              <w:jc w:val="center"/>
              <w:rPr>
                <w:rFonts w:hint="eastAsia" w:ascii="仿宋_GB2312" w:hAnsi="仿宋_GB2312" w:eastAsia="仿宋_GB2312" w:cs="仿宋_GB2312"/>
                <w:color w:val="000000"/>
                <w:sz w:val="24"/>
              </w:rPr>
            </w:pPr>
          </w:p>
        </w:tc>
      </w:tr>
      <w:tr w14:paraId="35DF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1383" w:type="dxa"/>
            <w:noWrap w:val="0"/>
            <w:vAlign w:val="center"/>
          </w:tcPr>
          <w:p w14:paraId="1E9E9075">
            <w:pPr>
              <w:spacing w:line="300" w:lineRule="exact"/>
              <w:jc w:val="center"/>
              <w:rPr>
                <w:rFonts w:hint="eastAsia" w:ascii="仿宋_GB2312" w:hAnsi="仿宋_GB2312" w:eastAsia="仿宋_GB2312" w:cs="仿宋_GB2312"/>
                <w:color w:val="000000"/>
                <w:sz w:val="24"/>
              </w:rPr>
            </w:pPr>
          </w:p>
        </w:tc>
        <w:tc>
          <w:tcPr>
            <w:tcW w:w="1197" w:type="dxa"/>
            <w:noWrap w:val="0"/>
            <w:vAlign w:val="center"/>
          </w:tcPr>
          <w:p w14:paraId="30E2B925">
            <w:pPr>
              <w:spacing w:line="300" w:lineRule="exact"/>
              <w:jc w:val="center"/>
              <w:rPr>
                <w:rFonts w:hint="eastAsia" w:ascii="仿宋_GB2312" w:hAnsi="仿宋_GB2312" w:eastAsia="仿宋_GB2312" w:cs="仿宋_GB2312"/>
                <w:color w:val="000000"/>
                <w:sz w:val="24"/>
              </w:rPr>
            </w:pPr>
          </w:p>
        </w:tc>
        <w:tc>
          <w:tcPr>
            <w:tcW w:w="1290" w:type="dxa"/>
            <w:gridSpan w:val="3"/>
            <w:noWrap w:val="0"/>
            <w:vAlign w:val="center"/>
          </w:tcPr>
          <w:p w14:paraId="771D1F4B">
            <w:pPr>
              <w:spacing w:line="300" w:lineRule="exact"/>
              <w:jc w:val="center"/>
              <w:rPr>
                <w:rFonts w:hint="eastAsia" w:ascii="仿宋_GB2312" w:hAnsi="仿宋_GB2312" w:eastAsia="仿宋_GB2312" w:cs="仿宋_GB2312"/>
                <w:color w:val="000000"/>
                <w:sz w:val="24"/>
              </w:rPr>
            </w:pPr>
          </w:p>
        </w:tc>
        <w:tc>
          <w:tcPr>
            <w:tcW w:w="1259" w:type="dxa"/>
            <w:gridSpan w:val="2"/>
            <w:noWrap w:val="0"/>
            <w:vAlign w:val="center"/>
          </w:tcPr>
          <w:p w14:paraId="0179B5CB">
            <w:pPr>
              <w:spacing w:line="300" w:lineRule="exact"/>
              <w:jc w:val="center"/>
              <w:rPr>
                <w:rFonts w:hint="eastAsia" w:ascii="仿宋_GB2312" w:hAnsi="仿宋_GB2312" w:eastAsia="仿宋_GB2312" w:cs="仿宋_GB2312"/>
                <w:color w:val="000000"/>
                <w:sz w:val="24"/>
              </w:rPr>
            </w:pPr>
          </w:p>
        </w:tc>
        <w:tc>
          <w:tcPr>
            <w:tcW w:w="716" w:type="dxa"/>
            <w:noWrap w:val="0"/>
            <w:vAlign w:val="center"/>
          </w:tcPr>
          <w:p w14:paraId="5BA3C465">
            <w:pPr>
              <w:spacing w:line="300" w:lineRule="exact"/>
              <w:jc w:val="center"/>
              <w:rPr>
                <w:rFonts w:hint="eastAsia" w:ascii="仿宋_GB2312" w:hAnsi="仿宋_GB2312" w:eastAsia="仿宋_GB2312" w:cs="仿宋_GB2312"/>
                <w:color w:val="000000"/>
                <w:sz w:val="24"/>
              </w:rPr>
            </w:pPr>
          </w:p>
        </w:tc>
        <w:tc>
          <w:tcPr>
            <w:tcW w:w="762" w:type="dxa"/>
            <w:noWrap w:val="0"/>
            <w:vAlign w:val="center"/>
          </w:tcPr>
          <w:p w14:paraId="01A9E121">
            <w:pPr>
              <w:jc w:val="center"/>
              <w:rPr>
                <w:rFonts w:hint="eastAsia" w:ascii="仿宋_GB2312" w:hAnsi="仿宋_GB2312" w:eastAsia="仿宋_GB2312" w:cs="仿宋_GB2312"/>
                <w:color w:val="000000"/>
                <w:sz w:val="24"/>
              </w:rPr>
            </w:pPr>
          </w:p>
        </w:tc>
        <w:tc>
          <w:tcPr>
            <w:tcW w:w="1223" w:type="dxa"/>
            <w:gridSpan w:val="2"/>
            <w:noWrap w:val="0"/>
            <w:vAlign w:val="center"/>
          </w:tcPr>
          <w:p w14:paraId="39D8B563">
            <w:pPr>
              <w:jc w:val="center"/>
              <w:rPr>
                <w:rFonts w:hint="eastAsia" w:ascii="仿宋_GB2312" w:hAnsi="仿宋_GB2312" w:eastAsia="仿宋_GB2312" w:cs="仿宋_GB2312"/>
                <w:color w:val="000000"/>
                <w:sz w:val="24"/>
              </w:rPr>
            </w:pPr>
          </w:p>
        </w:tc>
        <w:tc>
          <w:tcPr>
            <w:tcW w:w="1620" w:type="dxa"/>
            <w:noWrap w:val="0"/>
            <w:vAlign w:val="center"/>
          </w:tcPr>
          <w:p w14:paraId="09EC34C0">
            <w:pPr>
              <w:jc w:val="center"/>
              <w:rPr>
                <w:rFonts w:hint="eastAsia" w:ascii="仿宋_GB2312" w:hAnsi="仿宋_GB2312" w:eastAsia="仿宋_GB2312" w:cs="仿宋_GB2312"/>
                <w:color w:val="000000"/>
                <w:sz w:val="24"/>
              </w:rPr>
            </w:pPr>
          </w:p>
        </w:tc>
      </w:tr>
      <w:tr w14:paraId="0045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trPr>
        <w:tc>
          <w:tcPr>
            <w:tcW w:w="5845" w:type="dxa"/>
            <w:gridSpan w:val="8"/>
            <w:noWrap w:val="0"/>
            <w:vAlign w:val="center"/>
          </w:tcPr>
          <w:p w14:paraId="11455CB8">
            <w:pPr>
              <w:spacing w:line="3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62" w:type="dxa"/>
            <w:noWrap w:val="0"/>
            <w:vAlign w:val="center"/>
          </w:tcPr>
          <w:p w14:paraId="1CDC9DF2">
            <w:pPr>
              <w:jc w:val="center"/>
              <w:rPr>
                <w:rFonts w:hint="eastAsia" w:ascii="仿宋_GB2312" w:hAnsi="仿宋_GB2312" w:eastAsia="仿宋_GB2312" w:cs="仿宋_GB2312"/>
                <w:color w:val="000000"/>
                <w:sz w:val="24"/>
              </w:rPr>
            </w:pPr>
          </w:p>
        </w:tc>
        <w:tc>
          <w:tcPr>
            <w:tcW w:w="1223" w:type="dxa"/>
            <w:gridSpan w:val="2"/>
            <w:noWrap w:val="0"/>
            <w:vAlign w:val="center"/>
          </w:tcPr>
          <w:p w14:paraId="01AE775D">
            <w:pPr>
              <w:jc w:val="center"/>
              <w:rPr>
                <w:rFonts w:hint="eastAsia" w:ascii="仿宋_GB2312" w:hAnsi="仿宋_GB2312" w:eastAsia="仿宋_GB2312" w:cs="仿宋_GB2312"/>
                <w:color w:val="000000"/>
                <w:sz w:val="24"/>
              </w:rPr>
            </w:pPr>
          </w:p>
        </w:tc>
        <w:tc>
          <w:tcPr>
            <w:tcW w:w="1620" w:type="dxa"/>
            <w:noWrap w:val="0"/>
            <w:vAlign w:val="center"/>
          </w:tcPr>
          <w:p w14:paraId="15F41668">
            <w:pPr>
              <w:jc w:val="center"/>
              <w:rPr>
                <w:rFonts w:hint="eastAsia" w:ascii="仿宋_GB2312" w:hAnsi="仿宋_GB2312" w:eastAsia="仿宋_GB2312" w:cs="仿宋_GB2312"/>
                <w:color w:val="000000"/>
                <w:sz w:val="24"/>
              </w:rPr>
            </w:pPr>
          </w:p>
        </w:tc>
      </w:tr>
      <w:tr w14:paraId="3B6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trPr>
        <w:tc>
          <w:tcPr>
            <w:tcW w:w="2632" w:type="dxa"/>
            <w:gridSpan w:val="3"/>
            <w:noWrap w:val="0"/>
            <w:vAlign w:val="center"/>
          </w:tcPr>
          <w:p w14:paraId="7FDE1FD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借用单位申请意见</w:t>
            </w:r>
          </w:p>
        </w:tc>
        <w:tc>
          <w:tcPr>
            <w:tcW w:w="6818" w:type="dxa"/>
            <w:gridSpan w:val="9"/>
            <w:noWrap w:val="0"/>
            <w:vAlign w:val="center"/>
          </w:tcPr>
          <w:p w14:paraId="0F5006D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14:paraId="538A40D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单位（公章）</w:t>
            </w:r>
          </w:p>
        </w:tc>
      </w:tr>
      <w:tr w14:paraId="1265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atLeast"/>
        </w:trPr>
        <w:tc>
          <w:tcPr>
            <w:tcW w:w="2632" w:type="dxa"/>
            <w:gridSpan w:val="3"/>
            <w:noWrap w:val="0"/>
            <w:vAlign w:val="center"/>
          </w:tcPr>
          <w:p w14:paraId="5E56AC2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财政部门审批意见</w:t>
            </w:r>
          </w:p>
        </w:tc>
        <w:tc>
          <w:tcPr>
            <w:tcW w:w="6818" w:type="dxa"/>
            <w:gridSpan w:val="9"/>
            <w:noWrap w:val="0"/>
            <w:vAlign w:val="center"/>
          </w:tcPr>
          <w:p w14:paraId="30F1CD06">
            <w:pPr>
              <w:jc w:val="center"/>
              <w:rPr>
                <w:rFonts w:hint="eastAsia" w:ascii="仿宋_GB2312" w:hAnsi="仿宋_GB2312" w:eastAsia="仿宋_GB2312" w:cs="仿宋_GB2312"/>
                <w:color w:val="000000"/>
                <w:sz w:val="24"/>
              </w:rPr>
            </w:pPr>
          </w:p>
          <w:p w14:paraId="353F421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单位（公章）</w:t>
            </w:r>
          </w:p>
        </w:tc>
      </w:tr>
      <w:tr w14:paraId="2DDF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1" w:hRule="atLeast"/>
        </w:trPr>
        <w:tc>
          <w:tcPr>
            <w:tcW w:w="4772" w:type="dxa"/>
            <w:gridSpan w:val="6"/>
            <w:noWrap w:val="0"/>
            <w:vAlign w:val="center"/>
          </w:tcPr>
          <w:p w14:paraId="0A5145BA">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公物仓经办人签字：</w:t>
            </w:r>
          </w:p>
          <w:p w14:paraId="7738C826">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c>
          <w:tcPr>
            <w:tcW w:w="4678" w:type="dxa"/>
            <w:gridSpan w:val="6"/>
            <w:noWrap w:val="0"/>
            <w:vAlign w:val="center"/>
          </w:tcPr>
          <w:p w14:paraId="39119BAB">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借用单位接收人签字：</w:t>
            </w:r>
          </w:p>
          <w:p w14:paraId="61C12D91">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1879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9450" w:type="dxa"/>
            <w:gridSpan w:val="12"/>
            <w:noWrap w:val="0"/>
            <w:vAlign w:val="center"/>
          </w:tcPr>
          <w:p w14:paraId="0BE1BB13">
            <w:pPr>
              <w:spacing w:line="32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资 产 归 还 情 况</w:t>
            </w:r>
          </w:p>
        </w:tc>
      </w:tr>
      <w:tr w14:paraId="28C2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662" w:type="dxa"/>
            <w:gridSpan w:val="4"/>
            <w:noWrap w:val="0"/>
            <w:vAlign w:val="center"/>
          </w:tcPr>
          <w:p w14:paraId="57BC7390">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归还资产状况说明</w:t>
            </w:r>
          </w:p>
        </w:tc>
        <w:tc>
          <w:tcPr>
            <w:tcW w:w="6788" w:type="dxa"/>
            <w:gridSpan w:val="8"/>
            <w:noWrap w:val="0"/>
            <w:vAlign w:val="center"/>
          </w:tcPr>
          <w:p w14:paraId="2F77E145">
            <w:pPr>
              <w:rPr>
                <w:rFonts w:hint="eastAsia" w:ascii="仿宋_GB2312" w:hAnsi="仿宋_GB2312" w:eastAsia="仿宋_GB2312" w:cs="仿宋_GB2312"/>
                <w:color w:val="000000"/>
                <w:sz w:val="24"/>
              </w:rPr>
            </w:pPr>
          </w:p>
        </w:tc>
      </w:tr>
      <w:tr w14:paraId="673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trPr>
        <w:tc>
          <w:tcPr>
            <w:tcW w:w="4772" w:type="dxa"/>
            <w:gridSpan w:val="6"/>
            <w:noWrap w:val="0"/>
            <w:vAlign w:val="center"/>
          </w:tcPr>
          <w:p w14:paraId="02B78DD4">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归还单位经手人：</w:t>
            </w:r>
          </w:p>
          <w:p w14:paraId="746FE4CD">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（签字）                       </w:t>
            </w:r>
          </w:p>
          <w:p w14:paraId="0D78A2FA">
            <w:pPr>
              <w:ind w:firstLine="3120" w:firstLineChars="13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  月  日</w:t>
            </w:r>
          </w:p>
        </w:tc>
        <w:tc>
          <w:tcPr>
            <w:tcW w:w="4678" w:type="dxa"/>
            <w:gridSpan w:val="6"/>
            <w:noWrap w:val="0"/>
            <w:vAlign w:val="center"/>
          </w:tcPr>
          <w:p w14:paraId="7EBB85F4">
            <w:pPr>
              <w:widowControl/>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公物仓经办人：</w:t>
            </w:r>
          </w:p>
          <w:p w14:paraId="525678B7">
            <w:pPr>
              <w:widowControl/>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（签字）</w:t>
            </w:r>
          </w:p>
          <w:p w14:paraId="13D6C3EF">
            <w:pPr>
              <w:ind w:firstLine="3120" w:firstLineChars="13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  月  日</w:t>
            </w:r>
          </w:p>
        </w:tc>
      </w:tr>
    </w:tbl>
    <w:p w14:paraId="209A43B8">
      <w:pPr>
        <w:spacing w:line="360" w:lineRule="exact"/>
        <w:ind w:firstLine="240" w:firstLineChars="100"/>
        <w:rPr>
          <w:rFonts w:hint="default" w:ascii="Times New Roman" w:hAnsi="Times New Roman" w:eastAsia="仿宋_GB2312" w:cs="Times New Roman"/>
          <w:color w:val="000000"/>
          <w:sz w:val="24"/>
        </w:rPr>
      </w:pPr>
      <w:r>
        <w:rPr>
          <w:rFonts w:hint="eastAsia" w:ascii="仿宋_GB2312" w:hAnsi="仿宋_GB2312" w:eastAsia="仿宋_GB2312" w:cs="仿宋_GB2312"/>
          <w:color w:val="000000"/>
          <w:sz w:val="24"/>
        </w:rPr>
        <w:t>备注：</w:t>
      </w:r>
      <w:r>
        <w:rPr>
          <w:rFonts w:hint="default" w:ascii="Times New Roman" w:hAnsi="Times New Roman" w:eastAsia="黑体" w:cs="Times New Roman"/>
          <w:color w:val="000000"/>
          <w:sz w:val="24"/>
        </w:rPr>
        <w:t>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本表一式</w:t>
      </w:r>
      <w:r>
        <w:rPr>
          <w:rFonts w:hint="default" w:ascii="Times New Roman" w:hAnsi="Times New Roman" w:eastAsia="仿宋_GB2312" w:cs="Times New Roman"/>
          <w:color w:val="000000"/>
          <w:sz w:val="24"/>
        </w:rPr>
        <w:t>4份，移交单位1份，公物仓1份，财政局2份。</w:t>
      </w:r>
    </w:p>
    <w:p w14:paraId="505C2D9D">
      <w:pPr>
        <w:numPr>
          <w:ilvl w:val="0"/>
          <w:numId w:val="0"/>
        </w:numPr>
        <w:spacing w:line="360" w:lineRule="exact"/>
        <w:ind w:left="876" w:leftChars="0"/>
      </w:pPr>
      <w:r>
        <w:rPr>
          <w:rFonts w:hint="eastAsia" w:ascii="Times New Roman" w:hAnsi="Times New Roman" w:eastAsia="黑体" w:cs="Times New Roman"/>
          <w:color w:val="000000"/>
          <w:sz w:val="24"/>
          <w:lang w:val="en-US" w:eastAsia="zh-CN"/>
        </w:rPr>
        <w:t>2.</w:t>
      </w:r>
      <w:r>
        <w:rPr>
          <w:rFonts w:hint="eastAsia" w:ascii="仿宋_GB2312" w:hAnsi="仿宋_GB2312" w:eastAsia="仿宋_GB2312" w:cs="仿宋_GB2312"/>
          <w:color w:val="000000"/>
          <w:sz w:val="24"/>
        </w:rPr>
        <w:t>资产归还情况由公物仓经办人在资产归还时填写</w:t>
      </w:r>
      <w:r>
        <w:rPr>
          <w:rFonts w:hint="eastAsia" w:ascii="仿宋_GB2312" w:hAnsi="仿宋_GB2312" w:eastAsia="仿宋_GB2312" w:cs="仿宋_GB2312"/>
          <w:color w:val="000000"/>
          <w:sz w:val="24"/>
          <w:lang w:eastAsia="zh-CN"/>
        </w:rPr>
        <w:t>。</w:t>
      </w:r>
    </w:p>
    <w:sectPr>
      <w:headerReference r:id="rId5" w:type="default"/>
      <w:footerReference r:id="rId6" w:type="default"/>
      <w:footerReference r:id="rId7" w:type="even"/>
      <w:pgSz w:w="11906" w:h="16838"/>
      <w:pgMar w:top="1984" w:right="1474" w:bottom="1984" w:left="1587" w:header="1134"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仿宋_GB2312"/>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ˎ̥">
    <w:altName w:val="经典黑体简"/>
    <w:panose1 w:val="00000000000000000000"/>
    <w:charset w:val="00"/>
    <w:family w:val="roman"/>
    <w:pitch w:val="default"/>
    <w:sig w:usb0="00000000" w:usb1="00000000" w:usb2="00000000" w:usb3="00000000" w:csb0="00040001" w:csb1="00000000"/>
  </w:font>
  <w:font w:name="经典黑体简">
    <w:panose1 w:val="02010609000101010101"/>
    <w:charset w:val="86"/>
    <w:family w:val="auto"/>
    <w:pitch w:val="default"/>
    <w:sig w:usb0="A1007AEF" w:usb1="F9DF7CFB" w:usb2="0000001E" w:usb3="00000000" w:csb0="2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
    <w:altName w:val="仿宋_GB2312"/>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81A">
    <w:pPr>
      <w:pStyle w:val="4"/>
      <w:framePr w:w="1622" w:wrap="around" w:vAnchor="text" w:hAnchor="margin" w:xAlign="outside" w:y="1"/>
      <w:ind w:firstLine="280" w:firstLineChars="100"/>
      <w:rPr>
        <w:rStyle w:val="10"/>
        <w:rFonts w:hint="eastAsia"/>
        <w:sz w:val="28"/>
      </w:rPr>
    </w:pPr>
    <w:r>
      <w:rPr>
        <w:rStyle w:val="10"/>
        <w:rFonts w:hint="eastAsia"/>
        <w:sz w:val="28"/>
      </w:rPr>
      <w:t xml:space="preserve">— </w:t>
    </w:r>
    <w:r>
      <w:rPr>
        <w:sz w:val="28"/>
      </w:rPr>
      <w:fldChar w:fldCharType="begin"/>
    </w:r>
    <w:r>
      <w:rPr>
        <w:rStyle w:val="10"/>
        <w:sz w:val="28"/>
      </w:rPr>
      <w:instrText xml:space="preserve"> PAGE </w:instrText>
    </w:r>
    <w:r>
      <w:rPr>
        <w:sz w:val="28"/>
      </w:rPr>
      <w:fldChar w:fldCharType="separate"/>
    </w:r>
    <w:r>
      <w:rPr>
        <w:rStyle w:val="10"/>
        <w:sz w:val="28"/>
      </w:rPr>
      <w:t>10</w:t>
    </w:r>
    <w:r>
      <w:rPr>
        <w:sz w:val="28"/>
      </w:rPr>
      <w:fldChar w:fldCharType="end"/>
    </w:r>
    <w:r>
      <w:rPr>
        <w:rStyle w:val="10"/>
        <w:rFonts w:hint="eastAsia"/>
        <w:sz w:val="28"/>
      </w:rPr>
      <w:t xml:space="preserve"> —</w:t>
    </w:r>
  </w:p>
  <w:p w14:paraId="57B10439">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F2141">
    <w:pPr>
      <w:pStyle w:val="4"/>
    </w:pPr>
    <w:r>
      <w:rPr>
        <w:sz w:val="18"/>
      </w:rPr>
      <w:pict>
        <v:shape id="_x0000_s4097" o:spid="_x0000_s4097" o:spt="202" type="#_x0000_t202" style="position:absolute;left:0pt;margin-left:396.75pt;margin-top:-2.25pt;height:144pt;width:144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F178716">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7DBB">
    <w:pPr>
      <w:pStyle w:val="4"/>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4EBED69">
                <w:pPr>
                  <w:pStyle w:val="4"/>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712AB">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F1D9">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JlMzg3Y2E4OTBiMGQ0YjIzMzRhOGUwMDJhMTc4OTEifQ=="/>
  </w:docVars>
  <w:rsids>
    <w:rsidRoot w:val="00DB795C"/>
    <w:rsid w:val="005C3515"/>
    <w:rsid w:val="00964656"/>
    <w:rsid w:val="00D37D64"/>
    <w:rsid w:val="00DB795C"/>
    <w:rsid w:val="0AAE0BF9"/>
    <w:rsid w:val="0D8F0C7D"/>
    <w:rsid w:val="0EE01411"/>
    <w:rsid w:val="1FAA8C13"/>
    <w:rsid w:val="346E1B2C"/>
    <w:rsid w:val="370A1888"/>
    <w:rsid w:val="39851789"/>
    <w:rsid w:val="3BCEC5E4"/>
    <w:rsid w:val="3C0E6896"/>
    <w:rsid w:val="3DDE854C"/>
    <w:rsid w:val="4AF14731"/>
    <w:rsid w:val="4D258F24"/>
    <w:rsid w:val="4E8E71F5"/>
    <w:rsid w:val="539E225B"/>
    <w:rsid w:val="53FF1ADE"/>
    <w:rsid w:val="5BFF3A4C"/>
    <w:rsid w:val="626B1B3F"/>
    <w:rsid w:val="657F18F1"/>
    <w:rsid w:val="681A58E5"/>
    <w:rsid w:val="6976E472"/>
    <w:rsid w:val="6B7A6293"/>
    <w:rsid w:val="6FDE9242"/>
    <w:rsid w:val="747EBFAD"/>
    <w:rsid w:val="75FEF748"/>
    <w:rsid w:val="76DE8FB3"/>
    <w:rsid w:val="77F6F6BE"/>
    <w:rsid w:val="79FD98B6"/>
    <w:rsid w:val="7BEE5DB3"/>
    <w:rsid w:val="7BFE19EA"/>
    <w:rsid w:val="7CEFB230"/>
    <w:rsid w:val="7CF61D7C"/>
    <w:rsid w:val="7D3B3F62"/>
    <w:rsid w:val="7D7F53B8"/>
    <w:rsid w:val="7DF78498"/>
    <w:rsid w:val="7DFDCC0F"/>
    <w:rsid w:val="7E7EB5C0"/>
    <w:rsid w:val="7F5D2AF5"/>
    <w:rsid w:val="7FEC4BB6"/>
    <w:rsid w:val="7FED0223"/>
    <w:rsid w:val="7FF7984D"/>
    <w:rsid w:val="7FFF3B6B"/>
    <w:rsid w:val="7FFF4DA5"/>
    <w:rsid w:val="9CFFC4A9"/>
    <w:rsid w:val="AFB6D487"/>
    <w:rsid w:val="B5FFACE8"/>
    <w:rsid w:val="B7BDDDC5"/>
    <w:rsid w:val="BE764AC8"/>
    <w:rsid w:val="C8F709FC"/>
    <w:rsid w:val="CFD612AC"/>
    <w:rsid w:val="D56E0C37"/>
    <w:rsid w:val="D5D638CA"/>
    <w:rsid w:val="DA0760D9"/>
    <w:rsid w:val="DFDF1FDA"/>
    <w:rsid w:val="E7D98CC0"/>
    <w:rsid w:val="EA5F40EC"/>
    <w:rsid w:val="ECC29DB2"/>
    <w:rsid w:val="ED798326"/>
    <w:rsid w:val="F2C77986"/>
    <w:rsid w:val="F76F5A2F"/>
    <w:rsid w:val="F7F5CFA9"/>
    <w:rsid w:val="FCD99A3E"/>
    <w:rsid w:val="FCE6DF79"/>
    <w:rsid w:val="FEDF371C"/>
    <w:rsid w:val="FF6B9697"/>
    <w:rsid w:val="FF7311A9"/>
    <w:rsid w:val="FFB93ABB"/>
    <w:rsid w:val="FFFFA4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widowControl/>
      <w:spacing w:line="440" w:lineRule="atLeast"/>
      <w:ind w:firstLine="480"/>
      <w:jc w:val="left"/>
    </w:pPr>
    <w:rPr>
      <w:rFonts w:ascii="仿宋_GB2312" w:hAnsi="ˎ̥" w:eastAsia="仿宋_GB2312"/>
      <w:color w:val="000000"/>
      <w:kern w:val="0"/>
      <w:sz w:val="32"/>
    </w:rPr>
  </w:style>
  <w:style w:type="paragraph" w:styleId="3">
    <w:name w:val="Body Text Indent 2"/>
    <w:basedOn w:val="1"/>
    <w:qFormat/>
    <w:uiPriority w:val="0"/>
    <w:pPr>
      <w:spacing w:line="560" w:lineRule="exact"/>
      <w:ind w:firstLine="624" w:firstLineChars="200"/>
      <w:jc w:val="left"/>
    </w:pPr>
    <w:rPr>
      <w:rFonts w:ascii="仿宋_GB2312" w:hAnsi="ˎ̥" w:eastAsia="仿宋_GB2312"/>
      <w:kern w:val="0"/>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nhideWhenUsed/>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15"/>
    <w:basedOn w:val="9"/>
    <w:qFormat/>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10</Pages>
  <Words>3788</Words>
  <Characters>3906</Characters>
  <Lines>30</Lines>
  <Paragraphs>8</Paragraphs>
  <TotalTime>10</TotalTime>
  <ScaleCrop>false</ScaleCrop>
  <LinksUpToDate>false</LinksUpToDate>
  <CharactersWithSpaces>4032</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2024-10-29T01:27:00Z</dcterms:created>
  <dc:creator>Microsoft</dc:creator>
  <cp:lastModifiedBy>财政局办公室</cp:lastModifiedBy>
  <cp:lastPrinted>2025-07-24T16:40:00Z</cp:lastPrinted>
  <dcterms:modified xsi:type="dcterms:W3CDTF">2026-07-06T15:28:02Z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F3C365F750E14F62ABAE457FD53B3073_12</vt:lpwstr>
  </property>
</Properties>
</file>